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99E2" w14:textId="77777777" w:rsidR="002734D7" w:rsidRPr="002734D7" w:rsidRDefault="002734D7" w:rsidP="00315886">
      <w:pPr>
        <w:pStyle w:val="Heading1"/>
      </w:pPr>
      <w:bookmarkStart w:id="0" w:name="_Toc486862102"/>
      <w:r w:rsidRPr="002734D7">
        <w:t>REFE</w:t>
      </w:r>
      <w:bookmarkStart w:id="1" w:name="referral"/>
      <w:bookmarkEnd w:id="0"/>
      <w:bookmarkEnd w:id="1"/>
      <w:r w:rsidRPr="002734D7">
        <w:t>RRAL – 34 CFR 361.41 </w:t>
      </w:r>
    </w:p>
    <w:p w14:paraId="5E8A6AFC"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The Iowa Department for the Blind shall process all referrals and requests for information in an equitable and timely manner. A referral for VR services may be made by phone, mail, website, or electronic formats. The individual or the individual’s guardian (if under 18 or court-appointed) should consent to the referral being made. The IDB’s </w:t>
      </w:r>
      <w:hyperlink r:id="rId7" w:history="1">
        <w:r w:rsidRPr="002734D7">
          <w:rPr>
            <w:rFonts w:ascii="Cambria" w:eastAsia="Times New Roman" w:hAnsi="Cambria" w:cs="Times New Roman"/>
            <w:color w:val="0000FF"/>
            <w:sz w:val="24"/>
            <w:szCs w:val="24"/>
            <w:u w:val="single"/>
          </w:rPr>
          <w:t>Referral Form</w:t>
        </w:r>
      </w:hyperlink>
      <w:r w:rsidRPr="002734D7">
        <w:rPr>
          <w:rFonts w:ascii="Cambria" w:eastAsia="Times New Roman" w:hAnsi="Cambria" w:cs="Times New Roman"/>
          <w:color w:val="000000"/>
          <w:sz w:val="24"/>
          <w:szCs w:val="24"/>
        </w:rPr>
        <w:t xml:space="preserve"> is available, but its use is not required if the minimum referral information is provided. For a referral to be made, the information provided to IDB must minimally include: </w:t>
      </w:r>
    </w:p>
    <w:p w14:paraId="7F37375C" w14:textId="77777777" w:rsidR="002734D7" w:rsidRPr="002734D7" w:rsidRDefault="002734D7" w:rsidP="002734D7">
      <w:pPr>
        <w:numPr>
          <w:ilvl w:val="0"/>
          <w:numId w:val="10"/>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First Name</w:t>
      </w:r>
    </w:p>
    <w:p w14:paraId="0453C142" w14:textId="77777777" w:rsidR="002734D7" w:rsidRPr="002734D7" w:rsidRDefault="002734D7" w:rsidP="002734D7">
      <w:pPr>
        <w:numPr>
          <w:ilvl w:val="0"/>
          <w:numId w:val="10"/>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Last Name</w:t>
      </w:r>
    </w:p>
    <w:p w14:paraId="1C29A5C5" w14:textId="77777777" w:rsidR="002734D7" w:rsidRPr="002734D7" w:rsidRDefault="002734D7" w:rsidP="002734D7">
      <w:pPr>
        <w:numPr>
          <w:ilvl w:val="0"/>
          <w:numId w:val="10"/>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Date of Birth</w:t>
      </w:r>
    </w:p>
    <w:p w14:paraId="04C9312A" w14:textId="77777777" w:rsidR="002734D7" w:rsidRPr="002734D7" w:rsidRDefault="002734D7" w:rsidP="002734D7">
      <w:pPr>
        <w:numPr>
          <w:ilvl w:val="0"/>
          <w:numId w:val="10"/>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Street Address</w:t>
      </w:r>
    </w:p>
    <w:p w14:paraId="356FCD62" w14:textId="77777777" w:rsidR="002734D7" w:rsidRPr="002734D7" w:rsidRDefault="002734D7" w:rsidP="002734D7">
      <w:pPr>
        <w:numPr>
          <w:ilvl w:val="0"/>
          <w:numId w:val="10"/>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City, State, Zip Code</w:t>
      </w:r>
    </w:p>
    <w:p w14:paraId="1D26FA20" w14:textId="77777777" w:rsidR="002734D7" w:rsidRPr="002734D7" w:rsidRDefault="002734D7" w:rsidP="002734D7">
      <w:pPr>
        <w:numPr>
          <w:ilvl w:val="0"/>
          <w:numId w:val="10"/>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County where the individual lives </w:t>
      </w:r>
    </w:p>
    <w:p w14:paraId="7B566913" w14:textId="77777777" w:rsidR="002734D7" w:rsidRPr="002734D7" w:rsidRDefault="002734D7" w:rsidP="002734D7">
      <w:pPr>
        <w:numPr>
          <w:ilvl w:val="0"/>
          <w:numId w:val="10"/>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Phone </w:t>
      </w:r>
      <w:proofErr w:type="gramStart"/>
      <w:r w:rsidRPr="002734D7">
        <w:rPr>
          <w:rFonts w:ascii="Cambria" w:eastAsia="Times New Roman" w:hAnsi="Cambria" w:cs="Times New Roman"/>
          <w:color w:val="000000"/>
          <w:sz w:val="24"/>
          <w:szCs w:val="24"/>
        </w:rPr>
        <w:t>number</w:t>
      </w:r>
      <w:proofErr w:type="gramEnd"/>
    </w:p>
    <w:p w14:paraId="3D09FABC" w14:textId="77777777" w:rsidR="002734D7" w:rsidRPr="002734D7" w:rsidRDefault="002734D7" w:rsidP="002734D7">
      <w:pPr>
        <w:numPr>
          <w:ilvl w:val="0"/>
          <w:numId w:val="10"/>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Preferred method and time to be </w:t>
      </w:r>
      <w:proofErr w:type="gramStart"/>
      <w:r w:rsidRPr="002734D7">
        <w:rPr>
          <w:rFonts w:ascii="Cambria" w:eastAsia="Times New Roman" w:hAnsi="Cambria" w:cs="Times New Roman"/>
          <w:color w:val="000000"/>
          <w:sz w:val="24"/>
          <w:szCs w:val="24"/>
        </w:rPr>
        <w:t>contacted</w:t>
      </w:r>
      <w:proofErr w:type="gramEnd"/>
    </w:p>
    <w:p w14:paraId="42E4C973" w14:textId="77777777" w:rsidR="002734D7" w:rsidRPr="002734D7" w:rsidRDefault="002734D7" w:rsidP="002734D7">
      <w:pPr>
        <w:numPr>
          <w:ilvl w:val="0"/>
          <w:numId w:val="10"/>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Legal Guardian if applicable</w:t>
      </w:r>
    </w:p>
    <w:p w14:paraId="7CA09A95" w14:textId="2444417D" w:rsidR="002734D7" w:rsidRPr="002734D7" w:rsidRDefault="002734D7" w:rsidP="002734D7">
      <w:pPr>
        <w:numPr>
          <w:ilvl w:val="0"/>
          <w:numId w:val="10"/>
        </w:num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Name and contact information for the individual submitting the </w:t>
      </w:r>
      <w:proofErr w:type="gramStart"/>
      <w:r w:rsidRPr="002734D7">
        <w:rPr>
          <w:rFonts w:ascii="Cambria" w:eastAsia="Times New Roman" w:hAnsi="Cambria" w:cs="Times New Roman"/>
          <w:color w:val="000000"/>
          <w:sz w:val="24"/>
          <w:szCs w:val="24"/>
        </w:rPr>
        <w:t>referral</w:t>
      </w:r>
      <w:proofErr w:type="gramEnd"/>
    </w:p>
    <w:p w14:paraId="524804C9" w14:textId="26A4FC7A" w:rsidR="002734D7" w:rsidRPr="002734D7" w:rsidRDefault="002734D7" w:rsidP="002734D7">
      <w:pPr>
        <w:spacing w:before="240"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If all information is provided and the person requests information regarding VR services, the individual will be assigned to work with a counselor based on geographic location or need for a specific sub-program and shall be registered in the case management system.  If an individual moves, his or her file will be transferred to the appropriate counselor in his or her new geographic region. The VR counselor will respond to referrals within fourteen business days. </w:t>
      </w:r>
    </w:p>
    <w:p w14:paraId="2FEC648B"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A referred individual will be scheduled for an initial interview that should take place within 21 days of the date of the referral, unless the individual requests otherwise. At this interview, the VR counselor will share information about IDB roles and responsibilities in the process to assist the individual in making an informed choice when applying for services. </w:t>
      </w:r>
    </w:p>
    <w:p w14:paraId="1AD9F3F4"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If at this meeting, the referred individual is interested in applying for VR services, the individual, or the individual’s guardian, if appropriate, should answer application questions and sign the application (completing the application process). If the individual is over the age of 18 and has a court-appointed guardian, documentation of guardianship is required prior to application acceptance. Documentation provided must be official court guardianship documents that include the type of guardian and the areas of decision-making where the guardian has authority to act. At this time, the VR counselor should also begin gathering information for determining eligibility. </w:t>
      </w:r>
    </w:p>
    <w:p w14:paraId="367087BF"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Calibri" w:hAnsi="Cambria" w:cs="Times New Roman"/>
          <w:color w:val="000000"/>
          <w:sz w:val="24"/>
          <w:szCs w:val="24"/>
          <w:shd w:val="clear" w:color="auto" w:fill="FFFFFF"/>
        </w:rPr>
        <w:t>In the case of a self-referral where the potential client expresses the intention to apply for services, the 60-day time frame for determining eligibility will begin on the day this referral is received.</w:t>
      </w:r>
    </w:p>
    <w:p w14:paraId="16147565" w14:textId="77777777" w:rsidR="002734D7" w:rsidRPr="002734D7" w:rsidRDefault="002734D7" w:rsidP="002734D7">
      <w:pPr>
        <w:spacing w:after="240" w:line="240" w:lineRule="auto"/>
        <w:rPr>
          <w:rFonts w:ascii="Cambria" w:eastAsia="Times New Roman" w:hAnsi="Cambria" w:cs="Times New Roman"/>
          <w:color w:val="000000"/>
          <w:sz w:val="24"/>
          <w:szCs w:val="24"/>
        </w:rPr>
      </w:pPr>
    </w:p>
    <w:p w14:paraId="29E8505A"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Funds for case services must not be expended on an individual until the individual is considered to have submitted an application for services.</w:t>
      </w:r>
    </w:p>
    <w:p w14:paraId="505F4A10" w14:textId="77777777" w:rsidR="002734D7" w:rsidRPr="002734D7" w:rsidRDefault="002734D7" w:rsidP="00315886">
      <w:pPr>
        <w:pStyle w:val="Heading1"/>
      </w:pPr>
      <w:r w:rsidRPr="002734D7">
        <w:t>APPLI</w:t>
      </w:r>
      <w:bookmarkStart w:id="2" w:name="application"/>
      <w:bookmarkEnd w:id="2"/>
      <w:r w:rsidRPr="002734D7">
        <w:t>CATION 34 CFR 361.41</w:t>
      </w:r>
    </w:p>
    <w:p w14:paraId="72A91895"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An individual has submitted an application when the individual, or as appropriate, the individual's parent, family member, guardian, advocate, or authorized representative, has signed an agency Application Release for Services form, has submitted a signed, written request for services, or has otherwise requested services and has provided information necessary to initiate an assessment for determining eligibility and priority of services, and the individual is available to complete the assessment process.  </w:t>
      </w:r>
    </w:p>
    <w:p w14:paraId="5C2104FD"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At the time of application, an individual should have a thorough understanding of what services and outcomes they might anticipate. An individual should also understand the choices they need to make as well as their rights and responsibilities. The individual shall be made fully aware of the availability of the Client Assistance Program (CAP). The individual or, as appropriate, the individual's designee, must sign the Application Release for Services form.  If the individual or the representative does not wish to sign the form, this should be documented on the form and if a reason is given, this too should be documented. Services may be provided in spite of a refusal to sign. Once the application process has been completed, funds may be authorized to cover expenses related to assessing the individual's eligibility for services.</w:t>
      </w:r>
    </w:p>
    <w:p w14:paraId="79C9374C"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During this process and throughout the VR process, thorough demographic information, including information about primary and secondary disabilities, must be obtained to ensure appropriate reporting of data in federal reports.  </w:t>
      </w:r>
    </w:p>
    <w:p w14:paraId="375B5333" w14:textId="77777777" w:rsidR="002734D7" w:rsidRPr="002734D7" w:rsidRDefault="002734D7" w:rsidP="00315886">
      <w:pPr>
        <w:pStyle w:val="Heading2"/>
      </w:pPr>
      <w:r w:rsidRPr="002734D7">
        <w:t xml:space="preserve">SUPPORTING DOCUMENTATION </w:t>
      </w:r>
    </w:p>
    <w:p w14:paraId="45939748" w14:textId="77777777" w:rsidR="002734D7" w:rsidRPr="002734D7" w:rsidRDefault="002734D7" w:rsidP="002734D7">
      <w:pPr>
        <w:spacing w:after="0" w:line="240" w:lineRule="auto"/>
        <w:rPr>
          <w:rFonts w:ascii="Cambria" w:eastAsia="Times New Roman" w:hAnsi="Cambria" w:cs="Calibri"/>
          <w:color w:val="000000"/>
          <w:sz w:val="24"/>
          <w:szCs w:val="24"/>
        </w:rPr>
      </w:pPr>
      <w:r w:rsidRPr="002734D7">
        <w:rPr>
          <w:rFonts w:ascii="Cambria" w:eastAsia="Times New Roman" w:hAnsi="Cambria" w:cs="Times New Roman"/>
          <w:color w:val="000000"/>
          <w:sz w:val="24"/>
          <w:szCs w:val="24"/>
        </w:rPr>
        <w:t xml:space="preserve">Counselor must enter supporting documentation in the case </w:t>
      </w:r>
      <w:r w:rsidRPr="002734D7">
        <w:rPr>
          <w:rFonts w:ascii="Cambria" w:eastAsia="Times New Roman" w:hAnsi="Cambria" w:cs="Calibri"/>
          <w:color w:val="000000"/>
          <w:sz w:val="24"/>
          <w:szCs w:val="24"/>
        </w:rPr>
        <w:t xml:space="preserve">management system. This may include: </w:t>
      </w:r>
    </w:p>
    <w:p w14:paraId="4A1F7122" w14:textId="77777777" w:rsidR="002734D7" w:rsidRPr="002734D7" w:rsidRDefault="002734D7" w:rsidP="002734D7">
      <w:pPr>
        <w:numPr>
          <w:ilvl w:val="0"/>
          <w:numId w:val="13"/>
        </w:numPr>
        <w:spacing w:after="0" w:line="240" w:lineRule="auto"/>
        <w:rPr>
          <w:rFonts w:ascii="Cambria" w:eastAsia="Times New Roman" w:hAnsi="Cambria" w:cs="Calibri"/>
          <w:sz w:val="24"/>
          <w:szCs w:val="24"/>
        </w:rPr>
      </w:pPr>
      <w:r w:rsidRPr="002734D7">
        <w:rPr>
          <w:rFonts w:ascii="Cambria" w:eastAsia="Times New Roman" w:hAnsi="Cambria" w:cs="Calibri"/>
          <w:sz w:val="24"/>
          <w:szCs w:val="24"/>
        </w:rPr>
        <w:t>Signed Application Release for Services form; or</w:t>
      </w:r>
    </w:p>
    <w:p w14:paraId="3344063C" w14:textId="77777777" w:rsidR="002734D7" w:rsidRPr="002734D7" w:rsidRDefault="002734D7" w:rsidP="002734D7">
      <w:pPr>
        <w:numPr>
          <w:ilvl w:val="0"/>
          <w:numId w:val="13"/>
        </w:numPr>
        <w:spacing w:after="240" w:line="240" w:lineRule="auto"/>
        <w:rPr>
          <w:rFonts w:ascii="Cambria" w:eastAsia="Times New Roman" w:hAnsi="Cambria" w:cs="Calibri"/>
          <w:sz w:val="24"/>
          <w:szCs w:val="24"/>
        </w:rPr>
      </w:pPr>
      <w:r w:rsidRPr="002734D7">
        <w:rPr>
          <w:rFonts w:ascii="Cambria" w:eastAsia="Times New Roman" w:hAnsi="Cambria" w:cs="Calibri"/>
          <w:sz w:val="24"/>
          <w:szCs w:val="24"/>
        </w:rPr>
        <w:t>Date stamped application if received by IDB via [mail/fax/drop off].</w:t>
      </w:r>
    </w:p>
    <w:p w14:paraId="53B00051" w14:textId="77777777" w:rsidR="002734D7" w:rsidRPr="002734D7" w:rsidRDefault="002734D7" w:rsidP="002734D7">
      <w:pPr>
        <w:spacing w:after="0" w:line="240" w:lineRule="auto"/>
        <w:rPr>
          <w:rFonts w:ascii="Cambria" w:eastAsia="Times New Roman" w:hAnsi="Cambria" w:cs="Calibri"/>
          <w:sz w:val="24"/>
          <w:szCs w:val="24"/>
        </w:rPr>
      </w:pPr>
      <w:r w:rsidRPr="002734D7">
        <w:rPr>
          <w:rFonts w:ascii="Cambria" w:eastAsia="Times New Roman" w:hAnsi="Cambria" w:cs="Calibri"/>
          <w:sz w:val="24"/>
          <w:szCs w:val="24"/>
        </w:rPr>
        <w:t xml:space="preserve">The application date in the case management system </w:t>
      </w:r>
      <w:r w:rsidRPr="002734D7">
        <w:rPr>
          <w:rFonts w:ascii="Cambria" w:eastAsia="Times New Roman" w:hAnsi="Cambria" w:cs="Calibri"/>
          <w:sz w:val="24"/>
          <w:szCs w:val="24"/>
          <w:u w:val="single"/>
        </w:rPr>
        <w:t>MUST</w:t>
      </w:r>
      <w:r w:rsidRPr="002734D7">
        <w:rPr>
          <w:rFonts w:ascii="Cambria" w:eastAsia="Times New Roman" w:hAnsi="Cambria" w:cs="Calibri"/>
          <w:sz w:val="24"/>
          <w:szCs w:val="24"/>
        </w:rPr>
        <w:t xml:space="preserve"> match the signature date on the application/form, or it must match the date stamp if received by mail/fax or dropped off at IDB.</w:t>
      </w:r>
    </w:p>
    <w:p w14:paraId="2208F912" w14:textId="77777777" w:rsidR="002734D7" w:rsidRPr="00315886" w:rsidRDefault="002734D7" w:rsidP="00315886">
      <w:pPr>
        <w:pStyle w:val="Heading1"/>
      </w:pPr>
      <w:r w:rsidRPr="00315886">
        <w:t>ASSESS</w:t>
      </w:r>
      <w:bookmarkStart w:id="3" w:name="assessment"/>
      <w:bookmarkEnd w:id="3"/>
      <w:r w:rsidRPr="00315886">
        <w:t>MENT FOR DETERMINING ELIGIBILITY - 34 CFR 361.42</w:t>
      </w:r>
    </w:p>
    <w:p w14:paraId="4D47F29E" w14:textId="77777777" w:rsidR="002734D7" w:rsidRPr="002734D7" w:rsidRDefault="002734D7" w:rsidP="002734D7">
      <w:pPr>
        <w:spacing w:after="240" w:line="240" w:lineRule="auto"/>
        <w:rPr>
          <w:rFonts w:ascii="Cambria" w:eastAsia="Times New Roman" w:hAnsi="Cambria" w:cs="Times New Roman"/>
          <w:color w:val="000000"/>
          <w:sz w:val="24"/>
          <w:szCs w:val="24"/>
        </w:rPr>
      </w:pPr>
      <w:bookmarkStart w:id="4" w:name="_Toc486862105"/>
      <w:r w:rsidRPr="002734D7">
        <w:rPr>
          <w:rFonts w:ascii="Cambria" w:eastAsia="Times New Roman" w:hAnsi="Cambria" w:cs="Times New Roman"/>
          <w:color w:val="000000"/>
          <w:sz w:val="24"/>
          <w:szCs w:val="24"/>
        </w:rPr>
        <w:t xml:space="preserve">The Vocational Rehabilitation (VR) Counselor employed by the Iowa Department for the Blind (IDB) shall conduct an assessment to determine whether an individual is eligible for vocational rehabilitation services and to determine the individual’s priority under an order of selection for services if IDB is operating under an order of selection. The assessment </w:t>
      </w:r>
      <w:r w:rsidRPr="002734D7">
        <w:rPr>
          <w:rFonts w:ascii="Cambria" w:eastAsia="Times New Roman" w:hAnsi="Cambria" w:cs="Times New Roman"/>
          <w:color w:val="000000"/>
          <w:sz w:val="24"/>
          <w:szCs w:val="24"/>
        </w:rPr>
        <w:lastRenderedPageBreak/>
        <w:t xml:space="preserve">must be conducted in the most integrated setting possible, consistent with the individual’s needs and informed choice. The applicant may use a qualified service provider of their choice in obtaining necessary assessments to determine eligibility and priority for services. </w:t>
      </w:r>
    </w:p>
    <w:p w14:paraId="5C337163" w14:textId="77777777" w:rsidR="002734D7" w:rsidRPr="002734D7" w:rsidRDefault="002734D7" w:rsidP="00315886">
      <w:pPr>
        <w:pStyle w:val="Heading2"/>
      </w:pPr>
      <w:r w:rsidRPr="002734D7">
        <w:t>BASIC ELIGIBILITY REQUIREMENTS</w:t>
      </w:r>
      <w:bookmarkEnd w:id="4"/>
    </w:p>
    <w:p w14:paraId="3C91C293"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The determination of an applicant’s eligibility for vocational rehabilitation services through IDB is based on the following requirements: </w:t>
      </w:r>
    </w:p>
    <w:p w14:paraId="3EE2528D" w14:textId="77777777" w:rsidR="002734D7" w:rsidRPr="002734D7" w:rsidRDefault="002734D7" w:rsidP="002734D7">
      <w:pPr>
        <w:numPr>
          <w:ilvl w:val="0"/>
          <w:numId w:val="4"/>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The individual shall meet the criteria of being blind or having low vision through one or more of the following: </w:t>
      </w:r>
    </w:p>
    <w:p w14:paraId="0B85BA33" w14:textId="77777777" w:rsidR="002734D7" w:rsidRPr="002734D7" w:rsidRDefault="002734D7" w:rsidP="002734D7">
      <w:pPr>
        <w:numPr>
          <w:ilvl w:val="1"/>
          <w:numId w:val="1"/>
        </w:numPr>
        <w:spacing w:after="240" w:line="240" w:lineRule="auto"/>
        <w:contextualSpacing/>
        <w:rPr>
          <w:rFonts w:ascii="Cambria" w:eastAsia="Times New Roman" w:hAnsi="Cambria" w:cs="Times New Roman"/>
          <w:color w:val="000000"/>
          <w:sz w:val="24"/>
          <w:szCs w:val="24"/>
        </w:rPr>
      </w:pPr>
      <w:r w:rsidRPr="002734D7">
        <w:rPr>
          <w:rFonts w:ascii="Cambria" w:eastAsia="Calibri" w:hAnsi="Cambria" w:cs="Times New Roman"/>
          <w:color w:val="000000"/>
          <w:sz w:val="24"/>
          <w:szCs w:val="24"/>
        </w:rPr>
        <w:t xml:space="preserve">The individual’s visual acuity with best correction must be 20/200 or worse in the better eye or a peripheral field that has contracted to an extent that the widest diameter of visual field subtends to an angular distance of not greater than 20 degrees in the better eye; or </w:t>
      </w:r>
    </w:p>
    <w:p w14:paraId="2444FB3D" w14:textId="77777777" w:rsidR="002734D7" w:rsidRPr="002734D7" w:rsidRDefault="002734D7" w:rsidP="002734D7">
      <w:pPr>
        <w:numPr>
          <w:ilvl w:val="1"/>
          <w:numId w:val="1"/>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vision between 20/70 and 20/200 central visual acuity in the better eye with best correction and the person is experiencing functional limitations related to obtaining, maintaining, regaining, or advancing in employment; or</w:t>
      </w:r>
    </w:p>
    <w:p w14:paraId="05671C4B" w14:textId="77777777" w:rsidR="002734D7" w:rsidRPr="002734D7" w:rsidRDefault="002734D7" w:rsidP="002734D7">
      <w:pPr>
        <w:numPr>
          <w:ilvl w:val="1"/>
          <w:numId w:val="1"/>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a determination by a qualified ophthalmologist or optometrist, that the individual has a rapidly progressive eye condition which will terminate in the condition described in criteria 1, and causes or shall cause the individual to experience functional limitations related to obtaining, maintaining, regaining or impairment results in advancing in employment; or</w:t>
      </w:r>
    </w:p>
    <w:p w14:paraId="5FB52783" w14:textId="77777777" w:rsidR="002734D7" w:rsidRPr="002734D7" w:rsidRDefault="002734D7" w:rsidP="002734D7">
      <w:pPr>
        <w:numPr>
          <w:ilvl w:val="1"/>
          <w:numId w:val="1"/>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functional limitations due to an eye condition that constitutes a substantial impediment to employment as supported by medical reports and VR counselor determination. </w:t>
      </w:r>
    </w:p>
    <w:p w14:paraId="43B9A442" w14:textId="77777777" w:rsidR="002734D7" w:rsidRPr="002734D7" w:rsidRDefault="002734D7" w:rsidP="002734D7">
      <w:pPr>
        <w:numPr>
          <w:ilvl w:val="0"/>
          <w:numId w:val="4"/>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The individual’s blindness or low vision constitutes or results in a substantial impediment to employment; and</w:t>
      </w:r>
    </w:p>
    <w:p w14:paraId="43DF3F62" w14:textId="77777777" w:rsidR="002734D7" w:rsidRPr="002734D7" w:rsidRDefault="002734D7" w:rsidP="002734D7">
      <w:pPr>
        <w:numPr>
          <w:ilvl w:val="0"/>
          <w:numId w:val="4"/>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The individual requires vocational rehabilitation services to prepare for, secure, retain, advance in, or regain full-time or, if appropriate, part-time competitive integrated employment, (including customized employment, self-employment, telecommuting, or business ownership), or supported employment that is consistent with the individual’s unique strengths, resources, priorities, concerns, abilities, capabilities, interest, and informed choice. For purposes of an assessment for determining eligibility and vocational rehabilitation needs, an individual is presumed to have a goal of an employment outcome. </w:t>
      </w:r>
    </w:p>
    <w:p w14:paraId="668F7069" w14:textId="77777777" w:rsidR="002734D7" w:rsidRPr="002734D7" w:rsidRDefault="002734D7" w:rsidP="00315886">
      <w:pPr>
        <w:pStyle w:val="Heading2"/>
      </w:pPr>
      <w:r w:rsidRPr="002734D7">
        <w:t>PRESUMPTION OF BENEFIT</w:t>
      </w:r>
    </w:p>
    <w:p w14:paraId="27D855DF"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The VR counselor must presume that an applicant who meets the eligibility requirements can benefit from the provision of VR services in terms of an employment outcome. </w:t>
      </w:r>
    </w:p>
    <w:p w14:paraId="31630ACE" w14:textId="77777777" w:rsidR="002734D7" w:rsidRPr="002734D7" w:rsidRDefault="002734D7" w:rsidP="00315886">
      <w:pPr>
        <w:pStyle w:val="Heading2"/>
      </w:pPr>
      <w:r w:rsidRPr="002734D7">
        <w:lastRenderedPageBreak/>
        <w:t>PRESUMPTION OF ELIGIBILITY FOR SOCIAL SECURITY RECIPIENTS AND BENEFICIARIES</w:t>
      </w:r>
    </w:p>
    <w:p w14:paraId="3FA23C8E" w14:textId="77777777" w:rsidR="002734D7" w:rsidRPr="002734D7" w:rsidRDefault="002734D7" w:rsidP="002734D7">
      <w:pPr>
        <w:numPr>
          <w:ilvl w:val="0"/>
          <w:numId w:val="5"/>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Any applicant with legal blindness who has been determined eligible for Social Security benefits under title II or title XVI of the Social Security Act is: </w:t>
      </w:r>
    </w:p>
    <w:p w14:paraId="4DF9E482" w14:textId="77777777" w:rsidR="002734D7" w:rsidRPr="002734D7" w:rsidRDefault="002734D7" w:rsidP="002734D7">
      <w:pPr>
        <w:numPr>
          <w:ilvl w:val="1"/>
          <w:numId w:val="5"/>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Presumed eligible for vocational rehabilitation services provided that the applicant intends to achieve an employment outcome; and </w:t>
      </w:r>
    </w:p>
    <w:p w14:paraId="06C02FAA" w14:textId="77777777" w:rsidR="002734D7" w:rsidRPr="002734D7" w:rsidRDefault="002734D7" w:rsidP="002734D7">
      <w:pPr>
        <w:numPr>
          <w:ilvl w:val="1"/>
          <w:numId w:val="5"/>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Considered an individual with a significant disability. </w:t>
      </w:r>
    </w:p>
    <w:p w14:paraId="15F13778" w14:textId="77777777" w:rsidR="002734D7" w:rsidRPr="002734D7" w:rsidRDefault="002734D7" w:rsidP="002734D7">
      <w:pPr>
        <w:numPr>
          <w:ilvl w:val="0"/>
          <w:numId w:val="5"/>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If an applicant for vocational rehabilitation services asserts that he or she is eligible for Social Security benefits under title II or XVI of the Social Security Act, but is unable to provide appropriate evidence, such as an award letter, to support that assertion, the VR counselor must verify the applicant’s eligibility by contacting the Social Security Administration. This verification must be made within a reasonable period of time that enables the VR counselor to determine the applicant’s eligibility for VR services within 60 days of the individual submitting an application for services. </w:t>
      </w:r>
    </w:p>
    <w:p w14:paraId="61E9BE99" w14:textId="77777777" w:rsidR="002734D7" w:rsidRPr="002734D7" w:rsidRDefault="002734D7" w:rsidP="002734D7">
      <w:pPr>
        <w:numPr>
          <w:ilvl w:val="0"/>
          <w:numId w:val="5"/>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Presumptive eligibility does not apply to individuals receiving SSI-Aged or SSDI-Survivor Benefits; however, any applicant who, due to blindness or low vision, has been determined eligible for Social Security benefits under Title II, and transitions from SSDI to SS Retirement upon reaching full retirement age, would be presumed eligible. </w:t>
      </w:r>
    </w:p>
    <w:p w14:paraId="5F41E2C6" w14:textId="77777777" w:rsidR="002734D7" w:rsidRPr="002734D7" w:rsidRDefault="002734D7" w:rsidP="00315886">
      <w:pPr>
        <w:pStyle w:val="Heading2"/>
      </w:pPr>
      <w:r w:rsidRPr="002734D7">
        <w:t>ACHIEVEMENT OF AN EMPLOYMENT OUTCOME</w:t>
      </w:r>
    </w:p>
    <w:p w14:paraId="7DA5B50B"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Any eligible individual, including an individual whose eligibility for VR services is based on the individual being eligible for Social Security benefits under title II or title XVI of the Social Security Act, must intend to achieve an employment outcome that is consistent with the applicant’s unique strengths, resources, priorities, concerns, abilities, capabilities, interests, and informed choice. </w:t>
      </w:r>
    </w:p>
    <w:p w14:paraId="591F7582" w14:textId="77777777" w:rsidR="002734D7" w:rsidRPr="002734D7" w:rsidRDefault="002734D7" w:rsidP="002734D7">
      <w:pPr>
        <w:numPr>
          <w:ilvl w:val="0"/>
          <w:numId w:val="6"/>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The VR counselor will inform individuals at the time of application for VR services, that individuals who receive VR services must intend to achieve an employment outcome. </w:t>
      </w:r>
    </w:p>
    <w:p w14:paraId="26EBE8A6" w14:textId="77777777" w:rsidR="002734D7" w:rsidRPr="002734D7" w:rsidRDefault="002734D7" w:rsidP="002734D7">
      <w:pPr>
        <w:numPr>
          <w:ilvl w:val="0"/>
          <w:numId w:val="6"/>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The applicant’s completion of the application process for VR services is sufficient evidence of the individual’s intent to achieve an employment outcome and no additional demonstration on the part of the applicant is required.</w:t>
      </w:r>
    </w:p>
    <w:p w14:paraId="4348FBC6"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Nothing in this section is to be construed to create an entitlement to any vocational rehabilitation service.</w:t>
      </w:r>
    </w:p>
    <w:p w14:paraId="61EFC21B" w14:textId="3600CD30" w:rsidR="002734D7" w:rsidRPr="002734D7" w:rsidRDefault="002734D7" w:rsidP="00315886">
      <w:pPr>
        <w:pStyle w:val="Heading2"/>
      </w:pPr>
      <w:r w:rsidRPr="002734D7">
        <w:t>PROHIBITED FACTORS</w:t>
      </w:r>
    </w:p>
    <w:p w14:paraId="45F66438" w14:textId="77777777" w:rsidR="002734D7" w:rsidRPr="002734D7" w:rsidRDefault="002734D7" w:rsidP="002734D7">
      <w:pPr>
        <w:numPr>
          <w:ilvl w:val="0"/>
          <w:numId w:val="2"/>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The IDB will not impose a duration of residency requirement that would exclude an applicant who is present in Iowa from vocational rehabilitation services. The IDB will not require the applicant to demonstrate a presence in Iowa through the production of any documentation that under State or local law would result in a de facto duration of residence requirement. </w:t>
      </w:r>
    </w:p>
    <w:p w14:paraId="186F8D17" w14:textId="77777777" w:rsidR="002734D7" w:rsidRPr="002734D7" w:rsidRDefault="002734D7" w:rsidP="002734D7">
      <w:pPr>
        <w:numPr>
          <w:ilvl w:val="0"/>
          <w:numId w:val="2"/>
        </w:numPr>
        <w:contextualSpacing/>
        <w:rPr>
          <w:rFonts w:ascii="Cambria" w:eastAsia="Calibri" w:hAnsi="Cambria" w:cs="Times New Roman"/>
          <w:sz w:val="24"/>
          <w:szCs w:val="24"/>
        </w:rPr>
      </w:pPr>
      <w:r w:rsidRPr="002734D7">
        <w:rPr>
          <w:rFonts w:ascii="Cambria" w:eastAsia="Calibri" w:hAnsi="Cambria" w:cs="Times New Roman"/>
          <w:sz w:val="24"/>
          <w:szCs w:val="24"/>
        </w:rPr>
        <w:lastRenderedPageBreak/>
        <w:t xml:space="preserve">In making a determination of eligibility under this section, the IDB ensures </w:t>
      </w:r>
      <w:proofErr w:type="gramStart"/>
      <w:r w:rsidRPr="002734D7">
        <w:rPr>
          <w:rFonts w:ascii="Cambria" w:eastAsia="Calibri" w:hAnsi="Cambria" w:cs="Times New Roman"/>
          <w:sz w:val="24"/>
          <w:szCs w:val="24"/>
        </w:rPr>
        <w:t>that</w:t>
      </w:r>
      <w:proofErr w:type="gramEnd"/>
    </w:p>
    <w:p w14:paraId="0A846F8B" w14:textId="77777777" w:rsidR="002734D7" w:rsidRPr="002734D7" w:rsidRDefault="002734D7" w:rsidP="002734D7">
      <w:pPr>
        <w:numPr>
          <w:ilvl w:val="1"/>
          <w:numId w:val="2"/>
        </w:numPr>
        <w:contextualSpacing/>
        <w:rPr>
          <w:rFonts w:ascii="Cambria" w:eastAsia="Calibri" w:hAnsi="Cambria" w:cs="Times New Roman"/>
          <w:sz w:val="24"/>
          <w:szCs w:val="24"/>
        </w:rPr>
      </w:pPr>
      <w:r w:rsidRPr="002734D7">
        <w:rPr>
          <w:rFonts w:ascii="Cambria" w:eastAsia="Calibri" w:hAnsi="Cambria" w:cs="Times New Roman"/>
          <w:sz w:val="24"/>
          <w:szCs w:val="24"/>
        </w:rPr>
        <w:t>No applicant or group of applicants is excluded or found ineligible solely on the basis of the type of disability; and</w:t>
      </w:r>
    </w:p>
    <w:p w14:paraId="15B7E637" w14:textId="77777777" w:rsidR="002734D7" w:rsidRPr="002734D7" w:rsidRDefault="002734D7" w:rsidP="002734D7">
      <w:pPr>
        <w:numPr>
          <w:ilvl w:val="1"/>
          <w:numId w:val="2"/>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The eligibility requirements are applied without regard to the </w:t>
      </w:r>
      <w:proofErr w:type="gramStart"/>
      <w:r w:rsidRPr="002734D7">
        <w:rPr>
          <w:rFonts w:ascii="Cambria" w:eastAsia="Calibri" w:hAnsi="Cambria" w:cs="Times New Roman"/>
          <w:sz w:val="24"/>
          <w:szCs w:val="24"/>
        </w:rPr>
        <w:t>applicant’s</w:t>
      </w:r>
      <w:proofErr w:type="gramEnd"/>
      <w:r w:rsidRPr="002734D7">
        <w:rPr>
          <w:rFonts w:ascii="Cambria" w:eastAsia="Calibri" w:hAnsi="Cambria" w:cs="Times New Roman"/>
          <w:sz w:val="24"/>
          <w:szCs w:val="24"/>
        </w:rPr>
        <w:t xml:space="preserve"> </w:t>
      </w:r>
    </w:p>
    <w:p w14:paraId="4B0780BB" w14:textId="77777777" w:rsidR="002734D7" w:rsidRPr="002734D7" w:rsidRDefault="002734D7" w:rsidP="002734D7">
      <w:pPr>
        <w:numPr>
          <w:ilvl w:val="2"/>
          <w:numId w:val="2"/>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Age, sex, race, gender, gender expression, political affiliation, sexual orientation, color, or national </w:t>
      </w:r>
      <w:proofErr w:type="gramStart"/>
      <w:r w:rsidRPr="002734D7">
        <w:rPr>
          <w:rFonts w:ascii="Cambria" w:eastAsia="Calibri" w:hAnsi="Cambria" w:cs="Times New Roman"/>
          <w:sz w:val="24"/>
          <w:szCs w:val="24"/>
        </w:rPr>
        <w:t>origin;</w:t>
      </w:r>
      <w:proofErr w:type="gramEnd"/>
      <w:r w:rsidRPr="002734D7">
        <w:rPr>
          <w:rFonts w:ascii="Cambria" w:eastAsia="Calibri" w:hAnsi="Cambria" w:cs="Times New Roman"/>
          <w:sz w:val="24"/>
          <w:szCs w:val="24"/>
        </w:rPr>
        <w:t xml:space="preserve"> </w:t>
      </w:r>
    </w:p>
    <w:p w14:paraId="79E25AF9" w14:textId="77777777" w:rsidR="002734D7" w:rsidRPr="002734D7" w:rsidRDefault="002734D7" w:rsidP="002734D7">
      <w:pPr>
        <w:numPr>
          <w:ilvl w:val="2"/>
          <w:numId w:val="2"/>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Type of expected employment </w:t>
      </w:r>
      <w:proofErr w:type="gramStart"/>
      <w:r w:rsidRPr="002734D7">
        <w:rPr>
          <w:rFonts w:ascii="Cambria" w:eastAsia="Calibri" w:hAnsi="Cambria" w:cs="Times New Roman"/>
          <w:sz w:val="24"/>
          <w:szCs w:val="24"/>
        </w:rPr>
        <w:t>outcome;</w:t>
      </w:r>
      <w:proofErr w:type="gramEnd"/>
      <w:r w:rsidRPr="002734D7">
        <w:rPr>
          <w:rFonts w:ascii="Cambria" w:eastAsia="Calibri" w:hAnsi="Cambria" w:cs="Times New Roman"/>
          <w:sz w:val="24"/>
          <w:szCs w:val="24"/>
        </w:rPr>
        <w:t xml:space="preserve"> </w:t>
      </w:r>
    </w:p>
    <w:p w14:paraId="7BC908E0" w14:textId="77777777" w:rsidR="002734D7" w:rsidRPr="002734D7" w:rsidRDefault="002734D7" w:rsidP="002734D7">
      <w:pPr>
        <w:numPr>
          <w:ilvl w:val="2"/>
          <w:numId w:val="2"/>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Source of referral for VR </w:t>
      </w:r>
      <w:proofErr w:type="gramStart"/>
      <w:r w:rsidRPr="002734D7">
        <w:rPr>
          <w:rFonts w:ascii="Cambria" w:eastAsia="Calibri" w:hAnsi="Cambria" w:cs="Times New Roman"/>
          <w:sz w:val="24"/>
          <w:szCs w:val="24"/>
        </w:rPr>
        <w:t>services;</w:t>
      </w:r>
      <w:proofErr w:type="gramEnd"/>
      <w:r w:rsidRPr="002734D7">
        <w:rPr>
          <w:rFonts w:ascii="Cambria" w:eastAsia="Calibri" w:hAnsi="Cambria" w:cs="Times New Roman"/>
          <w:sz w:val="24"/>
          <w:szCs w:val="24"/>
        </w:rPr>
        <w:t xml:space="preserve"> </w:t>
      </w:r>
    </w:p>
    <w:p w14:paraId="6A66747B" w14:textId="77777777" w:rsidR="002734D7" w:rsidRPr="002734D7" w:rsidRDefault="002734D7" w:rsidP="002734D7">
      <w:pPr>
        <w:numPr>
          <w:ilvl w:val="2"/>
          <w:numId w:val="2"/>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Particular service needs or anticipated cost of services required by an applicant or the income level of an applicant or applicant’s </w:t>
      </w:r>
      <w:proofErr w:type="gramStart"/>
      <w:r w:rsidRPr="002734D7">
        <w:rPr>
          <w:rFonts w:ascii="Cambria" w:eastAsia="Calibri" w:hAnsi="Cambria" w:cs="Times New Roman"/>
          <w:sz w:val="24"/>
          <w:szCs w:val="24"/>
        </w:rPr>
        <w:t>family;</w:t>
      </w:r>
      <w:proofErr w:type="gramEnd"/>
      <w:r w:rsidRPr="002734D7">
        <w:rPr>
          <w:rFonts w:ascii="Cambria" w:eastAsia="Calibri" w:hAnsi="Cambria" w:cs="Times New Roman"/>
          <w:sz w:val="24"/>
          <w:szCs w:val="24"/>
        </w:rPr>
        <w:t xml:space="preserve"> </w:t>
      </w:r>
    </w:p>
    <w:p w14:paraId="778F7D4E" w14:textId="77777777" w:rsidR="002734D7" w:rsidRPr="002734D7" w:rsidRDefault="002734D7" w:rsidP="002734D7">
      <w:pPr>
        <w:numPr>
          <w:ilvl w:val="2"/>
          <w:numId w:val="2"/>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Employment history or current employment status; and </w:t>
      </w:r>
    </w:p>
    <w:p w14:paraId="56C70562" w14:textId="77777777" w:rsidR="002734D7" w:rsidRPr="002734D7" w:rsidRDefault="002734D7" w:rsidP="002734D7">
      <w:pPr>
        <w:numPr>
          <w:ilvl w:val="2"/>
          <w:numId w:val="2"/>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Educational status or current educational credential. </w:t>
      </w:r>
    </w:p>
    <w:p w14:paraId="2C2657BF" w14:textId="77777777" w:rsidR="002734D7" w:rsidRPr="002734D7" w:rsidRDefault="002734D7" w:rsidP="00315886">
      <w:pPr>
        <w:pStyle w:val="Heading2"/>
      </w:pPr>
      <w:r w:rsidRPr="002734D7">
        <w:t>REVIEW AND ASSESSMENT OF DATA FOR DETERMINING ELIGIBILITY</w:t>
      </w:r>
    </w:p>
    <w:p w14:paraId="5600F761" w14:textId="77777777" w:rsidR="002734D7" w:rsidRPr="002734D7" w:rsidRDefault="002734D7" w:rsidP="002734D7">
      <w:pPr>
        <w:rPr>
          <w:rFonts w:ascii="Cambria" w:eastAsia="Calibri" w:hAnsi="Cambria" w:cs="Times New Roman"/>
          <w:sz w:val="24"/>
          <w:szCs w:val="24"/>
        </w:rPr>
      </w:pPr>
      <w:r w:rsidRPr="002734D7">
        <w:rPr>
          <w:rFonts w:ascii="Cambria" w:eastAsia="Calibri" w:hAnsi="Cambria" w:cs="Times New Roman"/>
          <w:sz w:val="24"/>
          <w:szCs w:val="24"/>
        </w:rPr>
        <w:t>The VR counselor will base determination of each of the basic eligibility requirements on</w:t>
      </w:r>
    </w:p>
    <w:p w14:paraId="7E1F1887" w14:textId="77777777" w:rsidR="002734D7" w:rsidRPr="002734D7" w:rsidRDefault="002734D7" w:rsidP="002734D7">
      <w:pPr>
        <w:numPr>
          <w:ilvl w:val="0"/>
          <w:numId w:val="3"/>
        </w:numPr>
        <w:contextualSpacing/>
        <w:rPr>
          <w:rFonts w:ascii="Cambria" w:eastAsia="Calibri" w:hAnsi="Cambria" w:cs="Times New Roman"/>
          <w:sz w:val="24"/>
          <w:szCs w:val="24"/>
        </w:rPr>
      </w:pPr>
      <w:r w:rsidRPr="002734D7">
        <w:rPr>
          <w:rFonts w:ascii="Cambria" w:eastAsia="Calibri" w:hAnsi="Cambria" w:cs="Times New Roman"/>
          <w:sz w:val="24"/>
          <w:szCs w:val="24"/>
        </w:rPr>
        <w:t>A review and assessment of existing data, including counselor observations, education records, information provided by the applicant or the applicant’s family, information used by education officials, and determinations made by officials of other agencies; and</w:t>
      </w:r>
    </w:p>
    <w:p w14:paraId="09FD0083" w14:textId="77777777" w:rsidR="002734D7" w:rsidRPr="002734D7" w:rsidRDefault="002734D7" w:rsidP="002734D7">
      <w:pPr>
        <w:numPr>
          <w:ilvl w:val="0"/>
          <w:numId w:val="3"/>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To the extent existing data do not describe the current functioning of the individual or are unavailable, insufficient, or inappropriate to make an eligibility determination, an assessment of additional data resulting from the provision of vocational rehabilitation services, including assistive technology devices and services, personal assistance services, and any other support services that are necessary to determine whether an individual is eligible; and </w:t>
      </w:r>
    </w:p>
    <w:p w14:paraId="4A0952AB" w14:textId="77777777" w:rsidR="002734D7" w:rsidRPr="002734D7" w:rsidRDefault="002734D7" w:rsidP="002734D7">
      <w:pPr>
        <w:numPr>
          <w:ilvl w:val="0"/>
          <w:numId w:val="3"/>
        </w:numPr>
        <w:contextualSpacing/>
        <w:rPr>
          <w:rFonts w:ascii="Cambria" w:eastAsia="Calibri" w:hAnsi="Cambria" w:cs="Times New Roman"/>
          <w:sz w:val="24"/>
          <w:szCs w:val="24"/>
        </w:rPr>
      </w:pPr>
      <w:r w:rsidRPr="002734D7">
        <w:rPr>
          <w:rFonts w:ascii="Cambria" w:eastAsia="Calibri" w:hAnsi="Cambria" w:cs="Times New Roman"/>
          <w:sz w:val="24"/>
          <w:szCs w:val="24"/>
        </w:rPr>
        <w:t xml:space="preserve">A presumption that an applicant who, due to blindness or low vision, is determined eligible for Social Security benefits under title II or title XVI of the Social Security Act satisfies each of the basic eligibility requirements. </w:t>
      </w:r>
    </w:p>
    <w:p w14:paraId="62B542FC" w14:textId="77777777" w:rsidR="002734D7" w:rsidRPr="002734D7" w:rsidRDefault="002734D7" w:rsidP="002734D7">
      <w:pPr>
        <w:rPr>
          <w:rFonts w:ascii="Cambria" w:eastAsia="Calibri" w:hAnsi="Cambria" w:cs="Times New Roman"/>
          <w:sz w:val="24"/>
          <w:szCs w:val="24"/>
        </w:rPr>
      </w:pPr>
      <w:r w:rsidRPr="002734D7">
        <w:rPr>
          <w:rFonts w:ascii="Cambria" w:eastAsia="Calibri" w:hAnsi="Cambria" w:cs="Times New Roman"/>
          <w:sz w:val="24"/>
          <w:szCs w:val="24"/>
        </w:rPr>
        <w:t xml:space="preserve">When additional eye information is required to determine eligibility, the applicant will be given the choice of provider (ophthalmologist or optometrist) unless an evaluation from a specialist is necessary. The agency will cover costs not covered by medical insurance for this exam. </w:t>
      </w:r>
    </w:p>
    <w:p w14:paraId="5ED7A7B8" w14:textId="77777777" w:rsidR="002734D7" w:rsidRPr="002734D7" w:rsidRDefault="002734D7" w:rsidP="002734D7">
      <w:pPr>
        <w:rPr>
          <w:rFonts w:ascii="Cambria" w:eastAsia="Calibri" w:hAnsi="Cambria" w:cs="Calibri"/>
          <w:sz w:val="24"/>
          <w:szCs w:val="24"/>
        </w:rPr>
      </w:pPr>
      <w:r w:rsidRPr="002734D7">
        <w:rPr>
          <w:rFonts w:ascii="Cambria" w:eastAsia="Calibri" w:hAnsi="Cambria" w:cs="Times New Roman"/>
          <w:sz w:val="24"/>
          <w:szCs w:val="24"/>
        </w:rPr>
        <w:t xml:space="preserve">If the agency has older eye information that establishes that the individual is legally blind and the applicant does not have an eye condition which will improve, then this existing information can be used to establish eligibility for services. If the client reports that their vision has improved since the last report, then updated information will be obtained before determining eligibility. If the applicant reports that their vision has deteriorated since the last report, the VR counselor can establish eligibility based on the last report. The counselor is encouraged to obtain updated eye information for </w:t>
      </w:r>
      <w:r w:rsidRPr="002734D7">
        <w:rPr>
          <w:rFonts w:ascii="Cambria" w:eastAsia="Calibri" w:hAnsi="Cambria" w:cs="Calibri"/>
          <w:sz w:val="24"/>
          <w:szCs w:val="24"/>
        </w:rPr>
        <w:t>assessment, accommodation and planning purposes.</w:t>
      </w:r>
    </w:p>
    <w:p w14:paraId="124A2672" w14:textId="77777777" w:rsidR="002734D7" w:rsidRPr="002734D7" w:rsidRDefault="002734D7" w:rsidP="002734D7">
      <w:pPr>
        <w:rPr>
          <w:rFonts w:ascii="Cambria" w:eastAsia="Calibri" w:hAnsi="Cambria" w:cs="Calibri"/>
          <w:sz w:val="24"/>
          <w:szCs w:val="24"/>
        </w:rPr>
      </w:pPr>
      <w:r w:rsidRPr="002734D7">
        <w:rPr>
          <w:rFonts w:ascii="Cambria" w:eastAsia="Calibri" w:hAnsi="Cambria" w:cs="Calibri"/>
          <w:sz w:val="24"/>
          <w:szCs w:val="24"/>
        </w:rPr>
        <w:lastRenderedPageBreak/>
        <w:t xml:space="preserve">Special Education Students – IDB may use disability information reported in the individual education program (IEP) to determine that an applicant meets the definition of an individual who is blind or has low vision. The VR counselor must obtain a copy of the IEP and it must include information related to the applicant’s disability, diagnosis, medical provider and date of diagnosis.  </w:t>
      </w:r>
    </w:p>
    <w:p w14:paraId="41B1ACC5" w14:textId="77777777" w:rsidR="002734D7" w:rsidRPr="002734D7" w:rsidRDefault="002734D7" w:rsidP="002734D7">
      <w:pPr>
        <w:rPr>
          <w:rFonts w:ascii="Cambria" w:eastAsia="Times New Roman" w:hAnsi="Cambria" w:cs="Arial"/>
          <w:sz w:val="24"/>
          <w:szCs w:val="24"/>
          <w:lang w:val="en"/>
        </w:rPr>
      </w:pPr>
      <w:r w:rsidRPr="002734D7">
        <w:rPr>
          <w:rFonts w:ascii="Cambria" w:eastAsia="Times New Roman" w:hAnsi="Cambria" w:cs="Arial"/>
          <w:sz w:val="24"/>
          <w:szCs w:val="24"/>
          <w:lang w:val="en"/>
        </w:rPr>
        <w:t xml:space="preserve">For eligibility of VR services with IDB, the individual must be blind, deafblind or have low vision and meet the criteria as noted above.  In addition, the individual may also have other non-vision related disabilities (e.g., autism, traumatic brain injury, etc.) and/or a disability resulting in blindness or low vision (e.g., multiple sclerosis, diabetes, etc.) may include other serious functional limitations, perhaps even greater than the functional limitations related to blindness or low vision.  During the eligibility determination process (and throughout the case), the VR counselor must ensure that they gather all information necessary for eligibility determination, to include functional limitations related to other non-vision related disabilities. This information should be used then to determine the significance of the disability and, should the individual be determined eligible, all barriers to employment must be addressed through the Individual Plan for Employment. </w:t>
      </w:r>
    </w:p>
    <w:p w14:paraId="583DD4BC" w14:textId="77777777" w:rsidR="002734D7" w:rsidRPr="002734D7" w:rsidRDefault="002734D7" w:rsidP="00315886">
      <w:pPr>
        <w:pStyle w:val="Heading2"/>
      </w:pPr>
      <w:r w:rsidRPr="002734D7">
        <w:t>SIGNIFIGANCE OF DISABILITY</w:t>
      </w:r>
    </w:p>
    <w:p w14:paraId="571721F6"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 xml:space="preserve">The VR counselor will determine </w:t>
      </w:r>
      <w:proofErr w:type="gramStart"/>
      <w:r w:rsidRPr="002734D7">
        <w:rPr>
          <w:rFonts w:ascii="Cambria" w:eastAsia="Times New Roman" w:hAnsi="Cambria" w:cs="Times New Roman"/>
          <w:color w:val="000000"/>
          <w:sz w:val="24"/>
          <w:szCs w:val="24"/>
        </w:rPr>
        <w:t>significance</w:t>
      </w:r>
      <w:proofErr w:type="gramEnd"/>
      <w:r w:rsidRPr="002734D7">
        <w:rPr>
          <w:rFonts w:ascii="Cambria" w:eastAsia="Times New Roman" w:hAnsi="Cambria" w:cs="Times New Roman"/>
          <w:color w:val="000000"/>
          <w:sz w:val="24"/>
          <w:szCs w:val="24"/>
        </w:rPr>
        <w:t xml:space="preserve"> of disability for each applicant determined eligible for VR services. Where possible, it is absolutely necessary to use pre-existing information and thorough counseling interviews to determine the individual's functional limitations. To document a substantial impediment to employment, the counselor may obtain information from a variety of sources, such as direct observation; statements from the individual, the individual's family or others involved in the individual's activities; medical, psychological and other diagnostic reports; and/or records from the Social Security Administration, Veteran's Administration and educational institutions. Assistive technology and services must be used to the extent possible in gathering additional assessment information. To the extent possible, additional assessment should be obtained in realistic, integrated employment settings.</w:t>
      </w:r>
    </w:p>
    <w:p w14:paraId="2D7EC943" w14:textId="77777777" w:rsidR="002734D7" w:rsidRPr="002734D7" w:rsidRDefault="002734D7" w:rsidP="002734D7">
      <w:pPr>
        <w:rPr>
          <w:rFonts w:ascii="Cambria" w:eastAsia="Calibri" w:hAnsi="Cambria" w:cs="Times New Roman"/>
          <w:sz w:val="24"/>
          <w:szCs w:val="24"/>
        </w:rPr>
      </w:pPr>
      <w:r w:rsidRPr="002734D7">
        <w:rPr>
          <w:rFonts w:ascii="Cambria" w:eastAsia="Calibri" w:hAnsi="Cambria" w:cs="Times New Roman"/>
          <w:sz w:val="24"/>
          <w:szCs w:val="24"/>
        </w:rPr>
        <w:t xml:space="preserve">The below functional capacities are assessed as they relate to impediments to employment. </w:t>
      </w:r>
    </w:p>
    <w:p w14:paraId="73FBE295" w14:textId="77777777" w:rsidR="002734D7" w:rsidRPr="002734D7" w:rsidRDefault="002734D7" w:rsidP="002734D7">
      <w:pPr>
        <w:numPr>
          <w:ilvl w:val="0"/>
          <w:numId w:val="9"/>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Mobility – the physical and psychological ability to travel to and from destinations in the community. This includes orientation – the ability of the individual to know where he/she is, where he/she wants to go and how to get there, as well as the ability to adapt and adjust to new environments.</w:t>
      </w:r>
    </w:p>
    <w:p w14:paraId="213066C4" w14:textId="77777777" w:rsidR="002734D7" w:rsidRPr="002734D7" w:rsidRDefault="002734D7" w:rsidP="002734D7">
      <w:pPr>
        <w:numPr>
          <w:ilvl w:val="0"/>
          <w:numId w:val="9"/>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Communication – the ability to effectively exchange information through spoken or written words, signs, Braille concepts, gestures or any other means. This includes language – the ability to place labels and meaning to objects, actions and concepts such as who, what, where, when, and how. This also includes Braille literacy – the ability for an individual to read and write Braille or written words at a level appropriate for the individual’s age.</w:t>
      </w:r>
    </w:p>
    <w:p w14:paraId="58E331C3" w14:textId="77777777" w:rsidR="002734D7" w:rsidRPr="002734D7" w:rsidRDefault="002734D7" w:rsidP="002734D7">
      <w:pPr>
        <w:numPr>
          <w:ilvl w:val="0"/>
          <w:numId w:val="9"/>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lastRenderedPageBreak/>
        <w:t>Self-care – the ability to manage one's own living situation, thereby allowing participation in training or work activities. This includes management of special health and safety needs.</w:t>
      </w:r>
    </w:p>
    <w:p w14:paraId="1EF8E766" w14:textId="77777777" w:rsidR="002734D7" w:rsidRPr="002734D7" w:rsidRDefault="002734D7" w:rsidP="002734D7">
      <w:pPr>
        <w:numPr>
          <w:ilvl w:val="0"/>
          <w:numId w:val="9"/>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Self-direction – the ability to plan, initiate, problem-solve and carry out goal-directed activities.</w:t>
      </w:r>
    </w:p>
    <w:p w14:paraId="4DD1FA90" w14:textId="77777777" w:rsidR="002734D7" w:rsidRPr="002734D7" w:rsidRDefault="002734D7" w:rsidP="002734D7">
      <w:pPr>
        <w:numPr>
          <w:ilvl w:val="0"/>
          <w:numId w:val="9"/>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Interpersonal skills – the ability to make and maintain personal, family and community relationships.</w:t>
      </w:r>
    </w:p>
    <w:p w14:paraId="0B863D3C" w14:textId="77777777" w:rsidR="002734D7" w:rsidRPr="002734D7" w:rsidRDefault="002734D7" w:rsidP="002734D7">
      <w:pPr>
        <w:numPr>
          <w:ilvl w:val="0"/>
          <w:numId w:val="9"/>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Work tolerance – the capacity to effectively perform job requirements with or without accommodations; and</w:t>
      </w:r>
    </w:p>
    <w:p w14:paraId="37E7CEE2" w14:textId="77777777" w:rsidR="002734D7" w:rsidRPr="002734D7" w:rsidRDefault="002734D7" w:rsidP="002734D7">
      <w:pPr>
        <w:numPr>
          <w:ilvl w:val="0"/>
          <w:numId w:val="9"/>
        </w:numPr>
        <w:spacing w:after="240" w:line="240" w:lineRule="auto"/>
        <w:contextualSpacing/>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Work skills – the ability to do specific tasks required for a particular job.</w:t>
      </w:r>
    </w:p>
    <w:p w14:paraId="52F894C2" w14:textId="77777777" w:rsidR="002734D7" w:rsidRPr="002734D7" w:rsidRDefault="002734D7" w:rsidP="002734D7">
      <w:pPr>
        <w:spacing w:after="240" w:line="240" w:lineRule="auto"/>
        <w:contextualSpacing/>
        <w:rPr>
          <w:rFonts w:ascii="Cambria" w:eastAsia="Calibri" w:hAnsi="Cambria" w:cs="Times New Roman"/>
        </w:rPr>
      </w:pPr>
      <w:r w:rsidRPr="002734D7">
        <w:rPr>
          <w:rFonts w:ascii="Cambria" w:eastAsia="Calibri" w:hAnsi="Cambria" w:cs="Times New Roman"/>
          <w:sz w:val="24"/>
          <w:szCs w:val="24"/>
        </w:rPr>
        <w:t xml:space="preserve">An </w:t>
      </w:r>
      <w:r w:rsidRPr="002734D7">
        <w:rPr>
          <w:rFonts w:ascii="Cambria" w:eastAsia="Calibri" w:hAnsi="Cambria" w:cs="Times New Roman"/>
          <w:i/>
          <w:iCs/>
          <w:sz w:val="24"/>
          <w:szCs w:val="24"/>
        </w:rPr>
        <w:t>individual with a significant disability</w:t>
      </w:r>
      <w:r w:rsidRPr="002734D7">
        <w:rPr>
          <w:rFonts w:ascii="Cambria" w:eastAsia="Calibri" w:hAnsi="Cambria" w:cs="Times New Roman"/>
          <w:sz w:val="24"/>
          <w:szCs w:val="24"/>
        </w:rPr>
        <w:t xml:space="preserve"> means an eligible individual with a disability </w:t>
      </w:r>
      <w:r w:rsidRPr="002734D7">
        <w:rPr>
          <w:rFonts w:ascii="Cambria" w:eastAsia="Calibri" w:hAnsi="Cambria" w:cs="Times New Roman"/>
        </w:rPr>
        <w:t>–</w:t>
      </w:r>
      <w:r w:rsidRPr="002734D7">
        <w:rPr>
          <w:rFonts w:ascii="Cambria" w:eastAsia="Calibri" w:hAnsi="Cambria" w:cs="Times New Roman"/>
          <w:sz w:val="24"/>
          <w:szCs w:val="24"/>
        </w:rPr>
        <w:t xml:space="preserve"> </w:t>
      </w:r>
    </w:p>
    <w:p w14:paraId="256FBC75" w14:textId="77777777" w:rsidR="002734D7" w:rsidRPr="002734D7" w:rsidRDefault="002734D7" w:rsidP="002734D7">
      <w:pPr>
        <w:numPr>
          <w:ilvl w:val="0"/>
          <w:numId w:val="7"/>
        </w:numPr>
        <w:spacing w:before="100" w:beforeAutospacing="1" w:after="100" w:afterAutospacing="1" w:line="240" w:lineRule="auto"/>
        <w:rPr>
          <w:rFonts w:ascii="Cambria" w:eastAsia="Times New Roman" w:hAnsi="Cambria" w:cs="Times New Roman"/>
          <w:sz w:val="24"/>
          <w:szCs w:val="24"/>
        </w:rPr>
      </w:pPr>
      <w:r w:rsidRPr="002734D7">
        <w:rPr>
          <w:rFonts w:ascii="Cambria" w:eastAsia="Times New Roman" w:hAnsi="Cambria" w:cs="Times New Roman"/>
          <w:sz w:val="24"/>
          <w:szCs w:val="24"/>
        </w:rPr>
        <w:t xml:space="preserve">who has a severe mental or physical barrier that seriously limits one or more functional capacities in terms of an employment </w:t>
      </w:r>
      <w:proofErr w:type="gramStart"/>
      <w:r w:rsidRPr="002734D7">
        <w:rPr>
          <w:rFonts w:ascii="Cambria" w:eastAsia="Times New Roman" w:hAnsi="Cambria" w:cs="Times New Roman"/>
          <w:sz w:val="24"/>
          <w:szCs w:val="24"/>
        </w:rPr>
        <w:t>outcome;</w:t>
      </w:r>
      <w:proofErr w:type="gramEnd"/>
      <w:r w:rsidRPr="002734D7">
        <w:rPr>
          <w:rFonts w:ascii="Cambria" w:eastAsia="Times New Roman" w:hAnsi="Cambria" w:cs="Times New Roman"/>
          <w:sz w:val="24"/>
          <w:szCs w:val="24"/>
        </w:rPr>
        <w:t xml:space="preserve"> </w:t>
      </w:r>
    </w:p>
    <w:p w14:paraId="4A9D9026" w14:textId="77777777" w:rsidR="002734D7" w:rsidRPr="002734D7" w:rsidRDefault="002734D7" w:rsidP="002734D7">
      <w:pPr>
        <w:numPr>
          <w:ilvl w:val="0"/>
          <w:numId w:val="7"/>
        </w:numPr>
        <w:spacing w:before="100" w:beforeAutospacing="1" w:after="100" w:afterAutospacing="1" w:line="240" w:lineRule="auto"/>
        <w:rPr>
          <w:rFonts w:ascii="Cambria" w:eastAsia="Times New Roman" w:hAnsi="Cambria" w:cs="Times New Roman"/>
          <w:sz w:val="24"/>
          <w:szCs w:val="24"/>
        </w:rPr>
      </w:pPr>
      <w:r w:rsidRPr="002734D7">
        <w:rPr>
          <w:rFonts w:ascii="Cambria" w:eastAsia="Times New Roman" w:hAnsi="Cambria" w:cs="Times New Roman"/>
          <w:sz w:val="24"/>
          <w:szCs w:val="24"/>
        </w:rPr>
        <w:t xml:space="preserve">whose vocational rehabilitation can be expected to require multiple vocational rehabilitation services over an extended period of time; and </w:t>
      </w:r>
    </w:p>
    <w:p w14:paraId="19AFCBC3" w14:textId="77777777" w:rsidR="002734D7" w:rsidRPr="002734D7" w:rsidRDefault="002734D7" w:rsidP="002734D7">
      <w:pPr>
        <w:numPr>
          <w:ilvl w:val="0"/>
          <w:numId w:val="7"/>
        </w:numPr>
        <w:spacing w:before="100" w:beforeAutospacing="1" w:after="100" w:afterAutospacing="1" w:line="240" w:lineRule="auto"/>
        <w:rPr>
          <w:rFonts w:ascii="Cambria" w:eastAsia="Times New Roman" w:hAnsi="Cambria" w:cs="Times New Roman"/>
          <w:sz w:val="24"/>
          <w:szCs w:val="24"/>
        </w:rPr>
      </w:pPr>
      <w:r w:rsidRPr="002734D7">
        <w:rPr>
          <w:rFonts w:ascii="Cambria" w:eastAsia="Times New Roman" w:hAnsi="Cambria" w:cs="Times New Roman"/>
          <w:sz w:val="24"/>
          <w:szCs w:val="24"/>
        </w:rPr>
        <w:t xml:space="preserve">who has one or more mental or physical barriers resulting from amputation, arthritis, autism, blindness, burn injury, cancer, cerebral palsy, cystic fibrosis, deafness, head injury, heart disease, hemiplegia, hemophilia, respiratory or pulmonary dysfunction, mental illness, multiple sclerosis, muscular dystrophy, </w:t>
      </w:r>
      <w:proofErr w:type="spellStart"/>
      <w:r w:rsidRPr="002734D7">
        <w:rPr>
          <w:rFonts w:ascii="Cambria" w:eastAsia="Times New Roman" w:hAnsi="Cambria" w:cs="Times New Roman"/>
          <w:sz w:val="24"/>
          <w:szCs w:val="24"/>
        </w:rPr>
        <w:t>musculo</w:t>
      </w:r>
      <w:proofErr w:type="spellEnd"/>
      <w:r w:rsidRPr="002734D7">
        <w:rPr>
          <w:rFonts w:ascii="Cambria" w:eastAsia="Times New Roman" w:hAnsi="Cambria" w:cs="Times New Roman"/>
          <w:sz w:val="24"/>
          <w:szCs w:val="24"/>
        </w:rPr>
        <w:t>-skeletal disorders, neurological disorders (including stroke and epilepsy), spinal cord conditions (including paraplegia and quadriplegia), sickle cell anemia, intellectual disability, specific learning disability, end-stage renal disease, or another disability or combination of disabilities determined on the basis of an assessment for determining eligibility and vocational rehabilitation needs to cause comparable substantial functional limitation.</w:t>
      </w:r>
    </w:p>
    <w:p w14:paraId="0828B609" w14:textId="72D2A279" w:rsidR="002734D7" w:rsidRDefault="002734D7" w:rsidP="002734D7">
      <w:pPr>
        <w:spacing w:before="100" w:beforeAutospacing="1" w:after="100" w:afterAutospacing="1" w:line="240" w:lineRule="auto"/>
        <w:rPr>
          <w:rFonts w:ascii="Cambria" w:eastAsia="Times New Roman" w:hAnsi="Cambria" w:cs="Times New Roman"/>
          <w:sz w:val="24"/>
          <w:szCs w:val="24"/>
        </w:rPr>
      </w:pPr>
      <w:r w:rsidRPr="002734D7">
        <w:rPr>
          <w:rFonts w:ascii="Cambria" w:eastAsia="Times New Roman" w:hAnsi="Cambria" w:cs="Times New Roman"/>
          <w:i/>
          <w:iCs/>
          <w:sz w:val="24"/>
          <w:szCs w:val="24"/>
        </w:rPr>
        <w:t>Individual with a most significant disability</w:t>
      </w:r>
      <w:r w:rsidRPr="002734D7">
        <w:rPr>
          <w:rFonts w:ascii="Cambria" w:eastAsia="Times New Roman" w:hAnsi="Cambria" w:cs="Times New Roman"/>
          <w:sz w:val="24"/>
          <w:szCs w:val="24"/>
        </w:rPr>
        <w:t xml:space="preserve"> means an eligible individual with a significant disability who additionally</w:t>
      </w:r>
      <w:r>
        <w:rPr>
          <w:rFonts w:ascii="Cambria" w:eastAsia="Times New Roman" w:hAnsi="Cambria" w:cs="Times New Roman"/>
          <w:sz w:val="24"/>
          <w:szCs w:val="24"/>
        </w:rPr>
        <w:t xml:space="preserve"> – </w:t>
      </w:r>
    </w:p>
    <w:p w14:paraId="1CDC219B" w14:textId="77777777" w:rsidR="002734D7" w:rsidRPr="002734D7" w:rsidRDefault="002734D7" w:rsidP="002734D7">
      <w:pPr>
        <w:numPr>
          <w:ilvl w:val="0"/>
          <w:numId w:val="8"/>
        </w:numPr>
        <w:spacing w:before="100" w:beforeAutospacing="1" w:after="100" w:afterAutospacing="1" w:line="240" w:lineRule="auto"/>
        <w:rPr>
          <w:rFonts w:ascii="Cambria" w:eastAsia="Times New Roman" w:hAnsi="Cambria" w:cs="Times New Roman"/>
          <w:sz w:val="24"/>
          <w:szCs w:val="24"/>
        </w:rPr>
      </w:pPr>
      <w:r w:rsidRPr="002734D7">
        <w:rPr>
          <w:rFonts w:ascii="Cambria" w:eastAsia="Times New Roman" w:hAnsi="Cambria" w:cs="Times New Roman"/>
          <w:sz w:val="24"/>
          <w:szCs w:val="24"/>
        </w:rPr>
        <w:t>has a severe physical or mental barrier that seriously limits three or more functional capacities in terms of an employment outcome.</w:t>
      </w:r>
    </w:p>
    <w:p w14:paraId="440202D6" w14:textId="77777777" w:rsidR="002734D7" w:rsidRPr="002734D7" w:rsidRDefault="002734D7" w:rsidP="00315886">
      <w:pPr>
        <w:pStyle w:val="Heading2"/>
      </w:pPr>
      <w:r w:rsidRPr="002734D7">
        <w:t>TIMELINE TO DETERMINE ELIGIBILTY</w:t>
      </w:r>
    </w:p>
    <w:p w14:paraId="1C33A92E" w14:textId="77777777" w:rsidR="002734D7" w:rsidRPr="002734D7" w:rsidRDefault="002734D7" w:rsidP="002734D7">
      <w:pPr>
        <w:rPr>
          <w:rFonts w:ascii="Cambria" w:eastAsia="Calibri" w:hAnsi="Cambria" w:cs="Calibri"/>
          <w:sz w:val="24"/>
          <w:szCs w:val="24"/>
        </w:rPr>
      </w:pPr>
      <w:r w:rsidRPr="002734D7">
        <w:rPr>
          <w:rFonts w:ascii="Cambria" w:eastAsia="Calibri" w:hAnsi="Cambria" w:cs="Calibri"/>
          <w:sz w:val="24"/>
          <w:szCs w:val="24"/>
        </w:rPr>
        <w:t xml:space="preserve">The VR counselor must complete the eligibility determination as soon as possible. The time to determine eligibility must not exceed 60 days after the client has applied for VR services unless exceptional and unforeseen circumstances beyond the control of the IDB VR counselor preclude a determination within 60 days and the IDB and the applicant agree to a specific extension of time. If an extension is needed, the counselor must complete an extension to determine eligibility form prior to day 60 and document this in the case file.  </w:t>
      </w:r>
    </w:p>
    <w:p w14:paraId="04EE1099" w14:textId="77777777" w:rsidR="002734D7" w:rsidRPr="002734D7" w:rsidRDefault="002734D7" w:rsidP="002734D7">
      <w:pPr>
        <w:rPr>
          <w:rFonts w:ascii="Cambria" w:eastAsia="Calibri" w:hAnsi="Cambria" w:cs="Calibri"/>
          <w:sz w:val="24"/>
          <w:szCs w:val="24"/>
        </w:rPr>
      </w:pPr>
      <w:r w:rsidRPr="002734D7">
        <w:rPr>
          <w:rFonts w:ascii="Cambria" w:eastAsia="Calibri" w:hAnsi="Cambria" w:cs="Calibri"/>
          <w:sz w:val="24"/>
          <w:szCs w:val="24"/>
        </w:rPr>
        <w:t>An Eligibility Certificate must be completed, signed by the VR counselor and entered into the electronic case record.</w:t>
      </w:r>
    </w:p>
    <w:p w14:paraId="3BFF6A9D" w14:textId="77777777" w:rsidR="002734D7" w:rsidRPr="002734D7" w:rsidRDefault="002734D7" w:rsidP="002734D7">
      <w:pPr>
        <w:rPr>
          <w:rFonts w:ascii="Cambria" w:eastAsia="Calibri" w:hAnsi="Cambria" w:cs="Calibri"/>
          <w:sz w:val="24"/>
          <w:szCs w:val="24"/>
        </w:rPr>
      </w:pPr>
      <w:r w:rsidRPr="002734D7">
        <w:rPr>
          <w:rFonts w:ascii="Cambria" w:eastAsia="Calibri" w:hAnsi="Cambria" w:cs="Calibri"/>
          <w:sz w:val="24"/>
          <w:szCs w:val="24"/>
        </w:rPr>
        <w:lastRenderedPageBreak/>
        <w:t xml:space="preserve">Applicants who are determined ineligible for VR services shall be informed of the decision in writing and be provided full consultation including the reasons for the determination of ineligibility, notification of their appeal rights, and information about the Iowa Client Assistance Program (CAP). </w:t>
      </w:r>
    </w:p>
    <w:p w14:paraId="50A9E93E" w14:textId="77777777" w:rsidR="002734D7" w:rsidRPr="002734D7" w:rsidRDefault="002734D7" w:rsidP="002734D7">
      <w:pPr>
        <w:rPr>
          <w:rFonts w:ascii="Cambria" w:eastAsia="Calibri" w:hAnsi="Cambria" w:cs="Calibri"/>
          <w:sz w:val="24"/>
          <w:szCs w:val="24"/>
        </w:rPr>
      </w:pPr>
      <w:r w:rsidRPr="002734D7">
        <w:rPr>
          <w:rFonts w:ascii="Cambria" w:eastAsia="Times New Roman" w:hAnsi="Cambria" w:cs="Times New Roman"/>
          <w:color w:val="000000"/>
          <w:sz w:val="24"/>
          <w:szCs w:val="24"/>
        </w:rPr>
        <w:t>If the individual does not meet the criteria for eligibility stated above, the individual must be referred to Iowa Vocational Rehabilitation Services or other appropriate partner(s) of the America’s Job Center Network.</w:t>
      </w:r>
    </w:p>
    <w:p w14:paraId="2165D20E" w14:textId="77777777" w:rsidR="002734D7" w:rsidRPr="002734D7" w:rsidRDefault="002734D7" w:rsidP="00315886">
      <w:pPr>
        <w:pStyle w:val="Heading2"/>
      </w:pPr>
      <w:bookmarkStart w:id="5" w:name="_Toc486862109"/>
      <w:r w:rsidRPr="002734D7">
        <w:t>APPLICANTS AND CLIENTS WHO HAVE AN OPEN CASE WITH ANOTHER VR AGEN</w:t>
      </w:r>
      <w:bookmarkEnd w:id="5"/>
      <w:r w:rsidRPr="002734D7">
        <w:t>CY</w:t>
      </w:r>
    </w:p>
    <w:p w14:paraId="5A383774" w14:textId="77777777" w:rsidR="002734D7" w:rsidRPr="002734D7" w:rsidRDefault="002734D7" w:rsidP="002734D7">
      <w:pPr>
        <w:spacing w:after="240" w:line="240" w:lineRule="auto"/>
        <w:rPr>
          <w:rFonts w:ascii="Cambria" w:eastAsia="Times New Roman" w:hAnsi="Cambria" w:cs="Times New Roman"/>
          <w:color w:val="000000"/>
          <w:sz w:val="24"/>
          <w:szCs w:val="24"/>
        </w:rPr>
      </w:pPr>
      <w:r w:rsidRPr="002734D7">
        <w:rPr>
          <w:rFonts w:ascii="Cambria" w:eastAsia="Times New Roman" w:hAnsi="Cambria" w:cs="Times New Roman"/>
          <w:color w:val="000000"/>
          <w:sz w:val="24"/>
          <w:szCs w:val="24"/>
        </w:rPr>
        <w:t>If an applicant or active client indicates that he or she is currently receiving vocational rehabilitation services from another VR agency, the VR counselor must consult with the Department's VR Program Administrator.</w:t>
      </w:r>
    </w:p>
    <w:p w14:paraId="39B44B36" w14:textId="77777777" w:rsidR="002734D7" w:rsidRPr="002734D7" w:rsidRDefault="002734D7" w:rsidP="00315886">
      <w:pPr>
        <w:pStyle w:val="Heading2"/>
      </w:pPr>
      <w:r w:rsidRPr="002734D7">
        <w:t>SUPPORTING DOCUMENTATION</w:t>
      </w:r>
    </w:p>
    <w:p w14:paraId="54B629F0" w14:textId="77777777" w:rsidR="002734D7" w:rsidRPr="002734D7" w:rsidRDefault="002734D7" w:rsidP="002734D7">
      <w:pPr>
        <w:spacing w:before="100" w:beforeAutospacing="1" w:after="100" w:afterAutospacing="1" w:line="240" w:lineRule="auto"/>
        <w:rPr>
          <w:rFonts w:ascii="Cambria" w:eastAsia="Times New Roman" w:hAnsi="Cambria" w:cs="Segoe UI"/>
          <w:sz w:val="24"/>
          <w:szCs w:val="24"/>
        </w:rPr>
      </w:pPr>
      <w:r w:rsidRPr="002734D7">
        <w:rPr>
          <w:rFonts w:ascii="Cambria" w:eastAsia="Times New Roman" w:hAnsi="Cambria" w:cs="Segoe UI"/>
          <w:sz w:val="24"/>
          <w:szCs w:val="24"/>
        </w:rPr>
        <w:t xml:space="preserve">Case management system must include: </w:t>
      </w:r>
    </w:p>
    <w:p w14:paraId="6B73B56D" w14:textId="77777777" w:rsidR="002734D7" w:rsidRPr="002734D7" w:rsidRDefault="002734D7" w:rsidP="002734D7">
      <w:pPr>
        <w:numPr>
          <w:ilvl w:val="0"/>
          <w:numId w:val="14"/>
        </w:numPr>
        <w:spacing w:before="100" w:beforeAutospacing="1" w:after="100" w:afterAutospacing="1" w:line="240" w:lineRule="auto"/>
        <w:rPr>
          <w:rFonts w:ascii="Cambria" w:eastAsia="Times New Roman" w:hAnsi="Cambria" w:cs="Arial"/>
          <w:sz w:val="24"/>
          <w:szCs w:val="24"/>
        </w:rPr>
      </w:pPr>
      <w:r w:rsidRPr="002734D7">
        <w:rPr>
          <w:rFonts w:ascii="Cambria" w:eastAsia="Times New Roman" w:hAnsi="Cambria" w:cs="Segoe UI"/>
          <w:sz w:val="24"/>
          <w:szCs w:val="24"/>
        </w:rPr>
        <w:t>Signed Application</w:t>
      </w:r>
    </w:p>
    <w:p w14:paraId="5103FD40" w14:textId="77777777" w:rsidR="002734D7" w:rsidRPr="002734D7" w:rsidRDefault="002734D7" w:rsidP="002734D7">
      <w:pPr>
        <w:numPr>
          <w:ilvl w:val="0"/>
          <w:numId w:val="14"/>
        </w:numPr>
        <w:spacing w:before="100" w:beforeAutospacing="1" w:after="100" w:afterAutospacing="1" w:line="240" w:lineRule="auto"/>
        <w:rPr>
          <w:rFonts w:ascii="Cambria" w:eastAsia="Times New Roman" w:hAnsi="Cambria" w:cs="Arial"/>
          <w:sz w:val="24"/>
          <w:szCs w:val="24"/>
        </w:rPr>
      </w:pPr>
      <w:r w:rsidRPr="002734D7">
        <w:rPr>
          <w:rFonts w:ascii="Cambria" w:eastAsia="Times New Roman" w:hAnsi="Cambria" w:cs="Segoe UI"/>
          <w:sz w:val="24"/>
          <w:szCs w:val="24"/>
        </w:rPr>
        <w:t xml:space="preserve">Completed Disability Screen in CMS to support the disability and priority </w:t>
      </w:r>
      <w:proofErr w:type="gramStart"/>
      <w:r w:rsidRPr="002734D7">
        <w:rPr>
          <w:rFonts w:ascii="Cambria" w:eastAsia="Times New Roman" w:hAnsi="Cambria" w:cs="Segoe UI"/>
          <w:sz w:val="24"/>
          <w:szCs w:val="24"/>
        </w:rPr>
        <w:t>category</w:t>
      </w:r>
      <w:proofErr w:type="gramEnd"/>
    </w:p>
    <w:p w14:paraId="21175466" w14:textId="77777777" w:rsidR="002734D7" w:rsidRPr="002734D7" w:rsidRDefault="002734D7" w:rsidP="002734D7">
      <w:pPr>
        <w:numPr>
          <w:ilvl w:val="0"/>
          <w:numId w:val="14"/>
        </w:numPr>
        <w:spacing w:before="100" w:beforeAutospacing="1" w:after="100" w:afterAutospacing="1" w:line="240" w:lineRule="auto"/>
        <w:rPr>
          <w:rFonts w:ascii="Cambria" w:eastAsia="Times New Roman" w:hAnsi="Cambria" w:cs="Arial"/>
          <w:sz w:val="24"/>
          <w:szCs w:val="24"/>
        </w:rPr>
      </w:pPr>
      <w:r w:rsidRPr="002734D7">
        <w:rPr>
          <w:rFonts w:ascii="Cambria" w:eastAsia="Times New Roman" w:hAnsi="Cambria" w:cs="Arial"/>
          <w:sz w:val="24"/>
          <w:szCs w:val="24"/>
        </w:rPr>
        <w:t xml:space="preserve">Copy of documentation used to support the </w:t>
      </w:r>
      <w:proofErr w:type="gramStart"/>
      <w:r w:rsidRPr="002734D7">
        <w:rPr>
          <w:rFonts w:ascii="Cambria" w:eastAsia="Times New Roman" w:hAnsi="Cambria" w:cs="Arial"/>
          <w:sz w:val="24"/>
          <w:szCs w:val="24"/>
        </w:rPr>
        <w:t>disability</w:t>
      </w:r>
      <w:proofErr w:type="gramEnd"/>
    </w:p>
    <w:p w14:paraId="170D7FDC" w14:textId="77777777" w:rsidR="002734D7" w:rsidRPr="002734D7" w:rsidRDefault="002734D7" w:rsidP="002734D7">
      <w:pPr>
        <w:numPr>
          <w:ilvl w:val="0"/>
          <w:numId w:val="14"/>
        </w:numPr>
        <w:spacing w:before="100" w:beforeAutospacing="1" w:after="100" w:afterAutospacing="1" w:line="240" w:lineRule="auto"/>
        <w:rPr>
          <w:rFonts w:ascii="Cambria" w:eastAsia="Times New Roman" w:hAnsi="Cambria" w:cs="Arial"/>
          <w:sz w:val="24"/>
          <w:szCs w:val="24"/>
        </w:rPr>
      </w:pPr>
      <w:r w:rsidRPr="002734D7">
        <w:rPr>
          <w:rFonts w:ascii="Cambria" w:eastAsia="Times New Roman" w:hAnsi="Cambria" w:cs="Segoe UI"/>
          <w:sz w:val="24"/>
          <w:szCs w:val="24"/>
        </w:rPr>
        <w:t xml:space="preserve">Signed Eligibility or Ineligibility Determination Letter – Copy of letter sent to </w:t>
      </w:r>
      <w:proofErr w:type="gramStart"/>
      <w:r w:rsidRPr="002734D7">
        <w:rPr>
          <w:rFonts w:ascii="Cambria" w:eastAsia="Times New Roman" w:hAnsi="Cambria" w:cs="Segoe UI"/>
          <w:sz w:val="24"/>
          <w:szCs w:val="24"/>
        </w:rPr>
        <w:t>client</w:t>
      </w:r>
      <w:proofErr w:type="gramEnd"/>
    </w:p>
    <w:p w14:paraId="7BEED43D" w14:textId="77777777" w:rsidR="002734D7" w:rsidRPr="002734D7" w:rsidRDefault="002734D7" w:rsidP="002734D7">
      <w:pPr>
        <w:numPr>
          <w:ilvl w:val="0"/>
          <w:numId w:val="14"/>
        </w:numPr>
        <w:spacing w:before="100" w:beforeAutospacing="1" w:after="100" w:afterAutospacing="1" w:line="240" w:lineRule="auto"/>
        <w:rPr>
          <w:rFonts w:ascii="Cambria" w:eastAsia="Times New Roman" w:hAnsi="Cambria" w:cs="Arial"/>
          <w:sz w:val="24"/>
          <w:szCs w:val="24"/>
        </w:rPr>
      </w:pPr>
      <w:r w:rsidRPr="002734D7">
        <w:rPr>
          <w:rFonts w:ascii="Cambria" w:eastAsia="Times New Roman" w:hAnsi="Cambria" w:cs="Segoe UI"/>
          <w:sz w:val="24"/>
          <w:szCs w:val="24"/>
        </w:rPr>
        <w:t>Signed Eligibility Extension (if applicable)</w:t>
      </w:r>
    </w:p>
    <w:p w14:paraId="145126A4" w14:textId="77777777" w:rsidR="002734D7" w:rsidRPr="002734D7" w:rsidRDefault="002734D7" w:rsidP="002734D7">
      <w:pPr>
        <w:spacing w:before="100" w:beforeAutospacing="1" w:after="100" w:afterAutospacing="1" w:line="240" w:lineRule="auto"/>
        <w:rPr>
          <w:rFonts w:ascii="Cambria" w:eastAsia="Times New Roman" w:hAnsi="Cambria" w:cs="Arial"/>
          <w:sz w:val="24"/>
          <w:szCs w:val="24"/>
        </w:rPr>
      </w:pPr>
      <w:r w:rsidRPr="002734D7">
        <w:rPr>
          <w:rFonts w:ascii="Cambria" w:eastAsia="Times New Roman" w:hAnsi="Cambria" w:cs="Segoe UI"/>
          <w:sz w:val="24"/>
          <w:szCs w:val="24"/>
        </w:rPr>
        <w:t xml:space="preserve">The date on the eligibility source documentation </w:t>
      </w:r>
      <w:r w:rsidRPr="002734D7">
        <w:rPr>
          <w:rFonts w:ascii="Cambria" w:eastAsia="Times New Roman" w:hAnsi="Cambria" w:cs="Segoe UI"/>
          <w:sz w:val="24"/>
          <w:szCs w:val="24"/>
          <w:u w:val="single"/>
        </w:rPr>
        <w:t>must</w:t>
      </w:r>
      <w:r w:rsidRPr="002734D7">
        <w:rPr>
          <w:rFonts w:ascii="Cambria" w:eastAsia="Times New Roman" w:hAnsi="Cambria" w:cs="Segoe UI"/>
          <w:sz w:val="24"/>
          <w:szCs w:val="24"/>
        </w:rPr>
        <w:t xml:space="preserve"> match the date in the case management system. </w:t>
      </w:r>
    </w:p>
    <w:p w14:paraId="08442C6F" w14:textId="77777777" w:rsidR="002734D7" w:rsidRPr="002734D7" w:rsidRDefault="002734D7" w:rsidP="002734D7">
      <w:pPr>
        <w:spacing w:after="240" w:line="240" w:lineRule="auto"/>
        <w:rPr>
          <w:rFonts w:ascii="Cambria" w:eastAsia="Times New Roman" w:hAnsi="Cambria" w:cs="Times New Roman"/>
          <w:color w:val="000000"/>
          <w:sz w:val="24"/>
          <w:szCs w:val="24"/>
        </w:rPr>
      </w:pPr>
    </w:p>
    <w:p w14:paraId="0F0A2525" w14:textId="77777777" w:rsidR="00152E40" w:rsidRDefault="00152E40"/>
    <w:sectPr w:rsidR="00152E40" w:rsidSect="002734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7552" w14:textId="77777777" w:rsidR="00594B7C" w:rsidRDefault="00594B7C">
      <w:pPr>
        <w:spacing w:after="0" w:line="240" w:lineRule="auto"/>
      </w:pPr>
      <w:r>
        <w:separator/>
      </w:r>
    </w:p>
  </w:endnote>
  <w:endnote w:type="continuationSeparator" w:id="0">
    <w:p w14:paraId="40E17AC2" w14:textId="77777777" w:rsidR="00594B7C" w:rsidRDefault="0059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0721" w14:textId="77777777" w:rsidR="00594B7C" w:rsidRDefault="00594B7C">
    <w:pPr>
      <w:pStyle w:val="Footer1"/>
    </w:pPr>
    <w:r>
      <w:t>Revised: 6/2021</w:t>
    </w:r>
  </w:p>
  <w:p w14:paraId="3A452992" w14:textId="77777777" w:rsidR="00594B7C" w:rsidRDefault="00594B7C">
    <w:pPr>
      <w:pStyle w:val="Footer1"/>
    </w:pPr>
    <w:r>
      <w:t xml:space="preserve">Revised </w:t>
    </w:r>
    <w:r>
      <w:t>12/2022</w:t>
    </w:r>
  </w:p>
  <w:p w14:paraId="0A58A2CE" w14:textId="77777777" w:rsidR="00594B7C" w:rsidRDefault="00594B7C">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ACEB" w14:textId="77777777" w:rsidR="00594B7C" w:rsidRDefault="00594B7C">
      <w:pPr>
        <w:spacing w:after="0" w:line="240" w:lineRule="auto"/>
      </w:pPr>
      <w:r>
        <w:separator/>
      </w:r>
    </w:p>
  </w:footnote>
  <w:footnote w:type="continuationSeparator" w:id="0">
    <w:p w14:paraId="01A4C2AC" w14:textId="77777777" w:rsidR="00594B7C" w:rsidRDefault="00594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3003"/>
    <w:multiLevelType w:val="hybridMultilevel"/>
    <w:tmpl w:val="AF18A550"/>
    <w:lvl w:ilvl="0" w:tplc="04090015">
      <w:start w:val="1"/>
      <w:numFmt w:val="upperLetter"/>
      <w:lvlText w:val="%1."/>
      <w:lvlJc w:val="left"/>
      <w:pPr>
        <w:ind w:left="720" w:hanging="360"/>
      </w:pPr>
      <w:rPr>
        <w:rFonts w:hint="default"/>
        <w:b w:val="0"/>
        <w:bCs w:val="0"/>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4DFF"/>
    <w:multiLevelType w:val="hybridMultilevel"/>
    <w:tmpl w:val="03E85C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A1C6E"/>
    <w:multiLevelType w:val="hybridMultilevel"/>
    <w:tmpl w:val="35067D86"/>
    <w:lvl w:ilvl="0" w:tplc="ACAA864E">
      <w:start w:val="1"/>
      <w:numFmt w:val="decimal"/>
      <w:lvlText w:val="%1)"/>
      <w:lvlJc w:val="left"/>
      <w:pPr>
        <w:ind w:left="720" w:hanging="360"/>
      </w:pPr>
      <w:rPr>
        <w:rFonts w:ascii="Times New Roman" w:hAnsi="Times New Roman" w:hint="default"/>
        <w:b/>
      </w:rPr>
    </w:lvl>
    <w:lvl w:ilvl="1" w:tplc="4126D1E0">
      <w:start w:val="1"/>
      <w:numFmt w:val="decimal"/>
      <w:lvlText w:val="%2."/>
      <w:lvlJc w:val="left"/>
      <w:pPr>
        <w:ind w:left="1440" w:hanging="360"/>
      </w:pPr>
      <w:rPr>
        <w:rFonts w:ascii="Cambria" w:eastAsia="Times New Roman" w:hAnsi="Cambria" w:cs="Times New Roman"/>
      </w:rPr>
    </w:lvl>
    <w:lvl w:ilvl="2" w:tplc="04090019">
      <w:start w:val="1"/>
      <w:numFmt w:val="lowerLetter"/>
      <w:lvlText w:val="%3."/>
      <w:lvlJc w:val="left"/>
      <w:pPr>
        <w:ind w:left="2340" w:hanging="360"/>
      </w:pPr>
    </w:lvl>
    <w:lvl w:ilvl="3" w:tplc="025258BC">
      <w:start w:val="1"/>
      <w:numFmt w:val="lowerLetter"/>
      <w:lvlText w:val="%4."/>
      <w:lvlJc w:val="left"/>
      <w:pPr>
        <w:ind w:left="2880" w:hanging="360"/>
      </w:pPr>
      <w:rPr>
        <w:rFonts w:eastAsiaTheme="minorHAns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96779"/>
    <w:multiLevelType w:val="hybridMultilevel"/>
    <w:tmpl w:val="A9A6E530"/>
    <w:lvl w:ilvl="0" w:tplc="031801C4">
      <w:start w:val="1"/>
      <w:numFmt w:val="bullet"/>
      <w:lvlText w:val=""/>
      <w:lvlJc w:val="left"/>
      <w:pPr>
        <w:ind w:left="567" w:hanging="360"/>
      </w:pPr>
      <w:rPr>
        <w:rFonts w:ascii="Symbol" w:eastAsia="Symbol" w:hAnsi="Symbol" w:hint="default"/>
        <w:sz w:val="24"/>
        <w:szCs w:val="24"/>
      </w:rPr>
    </w:lvl>
    <w:lvl w:ilvl="1" w:tplc="0FCA2CF4">
      <w:start w:val="1"/>
      <w:numFmt w:val="bullet"/>
      <w:lvlText w:val="•"/>
      <w:lvlJc w:val="left"/>
      <w:pPr>
        <w:ind w:left="902" w:hanging="360"/>
      </w:pPr>
      <w:rPr>
        <w:rFonts w:hint="default"/>
      </w:rPr>
    </w:lvl>
    <w:lvl w:ilvl="2" w:tplc="FA10BD1E">
      <w:start w:val="1"/>
      <w:numFmt w:val="bullet"/>
      <w:lvlText w:val="•"/>
      <w:lvlJc w:val="left"/>
      <w:pPr>
        <w:ind w:left="1236" w:hanging="360"/>
      </w:pPr>
      <w:rPr>
        <w:rFonts w:hint="default"/>
      </w:rPr>
    </w:lvl>
    <w:lvl w:ilvl="3" w:tplc="A9300878">
      <w:start w:val="1"/>
      <w:numFmt w:val="bullet"/>
      <w:lvlText w:val="•"/>
      <w:lvlJc w:val="left"/>
      <w:pPr>
        <w:ind w:left="1570" w:hanging="360"/>
      </w:pPr>
      <w:rPr>
        <w:rFonts w:hint="default"/>
      </w:rPr>
    </w:lvl>
    <w:lvl w:ilvl="4" w:tplc="55F8A2C2">
      <w:start w:val="1"/>
      <w:numFmt w:val="bullet"/>
      <w:lvlText w:val="•"/>
      <w:lvlJc w:val="left"/>
      <w:pPr>
        <w:ind w:left="1904" w:hanging="360"/>
      </w:pPr>
      <w:rPr>
        <w:rFonts w:hint="default"/>
      </w:rPr>
    </w:lvl>
    <w:lvl w:ilvl="5" w:tplc="9E68A2DC">
      <w:start w:val="1"/>
      <w:numFmt w:val="bullet"/>
      <w:lvlText w:val="•"/>
      <w:lvlJc w:val="left"/>
      <w:pPr>
        <w:ind w:left="2239" w:hanging="360"/>
      </w:pPr>
      <w:rPr>
        <w:rFonts w:hint="default"/>
      </w:rPr>
    </w:lvl>
    <w:lvl w:ilvl="6" w:tplc="583C6A6E">
      <w:start w:val="1"/>
      <w:numFmt w:val="bullet"/>
      <w:lvlText w:val="•"/>
      <w:lvlJc w:val="left"/>
      <w:pPr>
        <w:ind w:left="2573" w:hanging="360"/>
      </w:pPr>
      <w:rPr>
        <w:rFonts w:hint="default"/>
      </w:rPr>
    </w:lvl>
    <w:lvl w:ilvl="7" w:tplc="8D382908">
      <w:start w:val="1"/>
      <w:numFmt w:val="bullet"/>
      <w:lvlText w:val="•"/>
      <w:lvlJc w:val="left"/>
      <w:pPr>
        <w:ind w:left="2907" w:hanging="360"/>
      </w:pPr>
      <w:rPr>
        <w:rFonts w:hint="default"/>
      </w:rPr>
    </w:lvl>
    <w:lvl w:ilvl="8" w:tplc="A49C9EAE">
      <w:start w:val="1"/>
      <w:numFmt w:val="bullet"/>
      <w:lvlText w:val="•"/>
      <w:lvlJc w:val="left"/>
      <w:pPr>
        <w:ind w:left="3242" w:hanging="360"/>
      </w:pPr>
      <w:rPr>
        <w:rFonts w:hint="default"/>
      </w:rPr>
    </w:lvl>
  </w:abstractNum>
  <w:abstractNum w:abstractNumId="4" w15:restartNumberingAfterBreak="0">
    <w:nsid w:val="3D8314DF"/>
    <w:multiLevelType w:val="hybridMultilevel"/>
    <w:tmpl w:val="03E85C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B86764"/>
    <w:multiLevelType w:val="hybridMultilevel"/>
    <w:tmpl w:val="8B0C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94360"/>
    <w:multiLevelType w:val="hybridMultilevel"/>
    <w:tmpl w:val="FB78B758"/>
    <w:lvl w:ilvl="0" w:tplc="3C66A4E6">
      <w:start w:val="1"/>
      <w:numFmt w:val="bullet"/>
      <w:lvlText w:val=""/>
      <w:lvlJc w:val="left"/>
      <w:pPr>
        <w:ind w:left="567" w:hanging="360"/>
      </w:pPr>
      <w:rPr>
        <w:rFonts w:ascii="Symbol" w:eastAsia="Symbol" w:hAnsi="Symbol" w:hint="default"/>
        <w:sz w:val="24"/>
        <w:szCs w:val="24"/>
      </w:rPr>
    </w:lvl>
    <w:lvl w:ilvl="1" w:tplc="9E62A370">
      <w:start w:val="1"/>
      <w:numFmt w:val="bullet"/>
      <w:lvlText w:val="•"/>
      <w:lvlJc w:val="left"/>
      <w:pPr>
        <w:ind w:left="902" w:hanging="360"/>
      </w:pPr>
      <w:rPr>
        <w:rFonts w:hint="default"/>
      </w:rPr>
    </w:lvl>
    <w:lvl w:ilvl="2" w:tplc="86666678">
      <w:start w:val="1"/>
      <w:numFmt w:val="bullet"/>
      <w:lvlText w:val="•"/>
      <w:lvlJc w:val="left"/>
      <w:pPr>
        <w:ind w:left="1236" w:hanging="360"/>
      </w:pPr>
      <w:rPr>
        <w:rFonts w:hint="default"/>
      </w:rPr>
    </w:lvl>
    <w:lvl w:ilvl="3" w:tplc="665AE496">
      <w:start w:val="1"/>
      <w:numFmt w:val="bullet"/>
      <w:lvlText w:val="•"/>
      <w:lvlJc w:val="left"/>
      <w:pPr>
        <w:ind w:left="1570" w:hanging="360"/>
      </w:pPr>
      <w:rPr>
        <w:rFonts w:hint="default"/>
      </w:rPr>
    </w:lvl>
    <w:lvl w:ilvl="4" w:tplc="EAD6DBD8">
      <w:start w:val="1"/>
      <w:numFmt w:val="bullet"/>
      <w:lvlText w:val="•"/>
      <w:lvlJc w:val="left"/>
      <w:pPr>
        <w:ind w:left="1904" w:hanging="360"/>
      </w:pPr>
      <w:rPr>
        <w:rFonts w:hint="default"/>
      </w:rPr>
    </w:lvl>
    <w:lvl w:ilvl="5" w:tplc="A822B4DA">
      <w:start w:val="1"/>
      <w:numFmt w:val="bullet"/>
      <w:lvlText w:val="•"/>
      <w:lvlJc w:val="left"/>
      <w:pPr>
        <w:ind w:left="2239" w:hanging="360"/>
      </w:pPr>
      <w:rPr>
        <w:rFonts w:hint="default"/>
      </w:rPr>
    </w:lvl>
    <w:lvl w:ilvl="6" w:tplc="A91ADA02">
      <w:start w:val="1"/>
      <w:numFmt w:val="bullet"/>
      <w:lvlText w:val="•"/>
      <w:lvlJc w:val="left"/>
      <w:pPr>
        <w:ind w:left="2573" w:hanging="360"/>
      </w:pPr>
      <w:rPr>
        <w:rFonts w:hint="default"/>
      </w:rPr>
    </w:lvl>
    <w:lvl w:ilvl="7" w:tplc="3244EA74">
      <w:start w:val="1"/>
      <w:numFmt w:val="bullet"/>
      <w:lvlText w:val="•"/>
      <w:lvlJc w:val="left"/>
      <w:pPr>
        <w:ind w:left="2907" w:hanging="360"/>
      </w:pPr>
      <w:rPr>
        <w:rFonts w:hint="default"/>
      </w:rPr>
    </w:lvl>
    <w:lvl w:ilvl="8" w:tplc="04E66806">
      <w:start w:val="1"/>
      <w:numFmt w:val="bullet"/>
      <w:lvlText w:val="•"/>
      <w:lvlJc w:val="left"/>
      <w:pPr>
        <w:ind w:left="3242" w:hanging="360"/>
      </w:pPr>
      <w:rPr>
        <w:rFonts w:hint="default"/>
      </w:rPr>
    </w:lvl>
  </w:abstractNum>
  <w:abstractNum w:abstractNumId="7" w15:restartNumberingAfterBreak="0">
    <w:nsid w:val="44E707CD"/>
    <w:multiLevelType w:val="hybridMultilevel"/>
    <w:tmpl w:val="FE50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274CB"/>
    <w:multiLevelType w:val="hybridMultilevel"/>
    <w:tmpl w:val="DFBCF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6B2090"/>
    <w:multiLevelType w:val="hybridMultilevel"/>
    <w:tmpl w:val="139A61E0"/>
    <w:lvl w:ilvl="0" w:tplc="4CD0551C">
      <w:start w:val="1"/>
      <w:numFmt w:val="upperLetter"/>
      <w:lvlText w:val="%1."/>
      <w:lvlJc w:val="left"/>
      <w:pPr>
        <w:ind w:left="720" w:hanging="360"/>
      </w:pPr>
      <w:rPr>
        <w:rFonts w:hint="default"/>
        <w:b w:val="0"/>
        <w:bCs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E3AA8"/>
    <w:multiLevelType w:val="hybridMultilevel"/>
    <w:tmpl w:val="03E85C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E13862"/>
    <w:multiLevelType w:val="hybridMultilevel"/>
    <w:tmpl w:val="2152A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D7FE7"/>
    <w:multiLevelType w:val="hybridMultilevel"/>
    <w:tmpl w:val="2152AC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83212A"/>
    <w:multiLevelType w:val="hybridMultilevel"/>
    <w:tmpl w:val="FCA29D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101447">
    <w:abstractNumId w:val="2"/>
  </w:num>
  <w:num w:numId="2" w16cid:durableId="1957443935">
    <w:abstractNumId w:val="0"/>
  </w:num>
  <w:num w:numId="3" w16cid:durableId="895356981">
    <w:abstractNumId w:val="9"/>
  </w:num>
  <w:num w:numId="4" w16cid:durableId="516313346">
    <w:abstractNumId w:val="1"/>
  </w:num>
  <w:num w:numId="5" w16cid:durableId="1551770442">
    <w:abstractNumId w:val="4"/>
  </w:num>
  <w:num w:numId="6" w16cid:durableId="2061588129">
    <w:abstractNumId w:val="10"/>
  </w:num>
  <w:num w:numId="7" w16cid:durableId="967126698">
    <w:abstractNumId w:val="13"/>
  </w:num>
  <w:num w:numId="8" w16cid:durableId="479688301">
    <w:abstractNumId w:val="11"/>
  </w:num>
  <w:num w:numId="9" w16cid:durableId="556670042">
    <w:abstractNumId w:val="12"/>
  </w:num>
  <w:num w:numId="10" w16cid:durableId="1093473045">
    <w:abstractNumId w:val="5"/>
  </w:num>
  <w:num w:numId="11" w16cid:durableId="1794473087">
    <w:abstractNumId w:val="3"/>
  </w:num>
  <w:num w:numId="12" w16cid:durableId="410348796">
    <w:abstractNumId w:val="6"/>
  </w:num>
  <w:num w:numId="13" w16cid:durableId="2131432940">
    <w:abstractNumId w:val="8"/>
  </w:num>
  <w:num w:numId="14" w16cid:durableId="533036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D7"/>
    <w:rsid w:val="00152E40"/>
    <w:rsid w:val="002734D7"/>
    <w:rsid w:val="00315886"/>
    <w:rsid w:val="0044592F"/>
    <w:rsid w:val="00546FDD"/>
    <w:rsid w:val="0059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5426"/>
  <w15:chartTrackingRefBased/>
  <w15:docId w15:val="{06F93C57-B288-4968-BA94-D1163927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886"/>
    <w:pPr>
      <w:keepNext/>
      <w:keepLines/>
      <w:spacing w:before="240" w:after="240" w:line="240" w:lineRule="auto"/>
      <w:outlineLvl w:val="0"/>
    </w:pPr>
    <w:rPr>
      <w:rFonts w:ascii="Calibri" w:eastAsia="Times New Roman" w:hAnsi="Calibri" w:cs="Calibri"/>
      <w:b/>
      <w:bCs/>
      <w:sz w:val="28"/>
      <w:szCs w:val="28"/>
    </w:rPr>
  </w:style>
  <w:style w:type="paragraph" w:styleId="Heading2">
    <w:name w:val="heading 2"/>
    <w:basedOn w:val="Normal"/>
    <w:next w:val="Normal"/>
    <w:link w:val="Heading2Char"/>
    <w:uiPriority w:val="9"/>
    <w:unhideWhenUsed/>
    <w:qFormat/>
    <w:rsid w:val="00315886"/>
    <w:pPr>
      <w:keepNext/>
      <w:keepLines/>
      <w:spacing w:before="240" w:after="240" w:line="240" w:lineRule="auto"/>
      <w:outlineLvl w:val="1"/>
    </w:pPr>
    <w:rPr>
      <w:rFonts w:ascii="Cambria" w:eastAsia="Times New Roman" w:hAnsi="Cambria" w:cs="Calibri"/>
      <w:b/>
      <w:bCs/>
      <w:sz w:val="24"/>
      <w:szCs w:val="24"/>
    </w:rPr>
  </w:style>
  <w:style w:type="paragraph" w:styleId="Heading3">
    <w:name w:val="heading 3"/>
    <w:basedOn w:val="Normal"/>
    <w:next w:val="Normal"/>
    <w:link w:val="Heading3Char"/>
    <w:uiPriority w:val="9"/>
    <w:semiHidden/>
    <w:unhideWhenUsed/>
    <w:qFormat/>
    <w:rsid w:val="00273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86"/>
    <w:rPr>
      <w:rFonts w:ascii="Calibri" w:eastAsia="Times New Roman" w:hAnsi="Calibri" w:cs="Calibri"/>
      <w:b/>
      <w:bCs/>
      <w:sz w:val="28"/>
      <w:szCs w:val="28"/>
    </w:rPr>
  </w:style>
  <w:style w:type="character" w:customStyle="1" w:styleId="Heading2Char">
    <w:name w:val="Heading 2 Char"/>
    <w:basedOn w:val="DefaultParagraphFont"/>
    <w:link w:val="Heading2"/>
    <w:uiPriority w:val="9"/>
    <w:rsid w:val="00315886"/>
    <w:rPr>
      <w:rFonts w:ascii="Cambria" w:eastAsia="Times New Roman" w:hAnsi="Cambria" w:cs="Calibri"/>
      <w:b/>
      <w:bCs/>
      <w:sz w:val="24"/>
      <w:szCs w:val="24"/>
    </w:rPr>
  </w:style>
  <w:style w:type="character" w:customStyle="1" w:styleId="Heading3Char">
    <w:name w:val="Heading 3 Char"/>
    <w:basedOn w:val="DefaultParagraphFont"/>
    <w:link w:val="Heading3"/>
    <w:uiPriority w:val="9"/>
    <w:semiHidden/>
    <w:rsid w:val="00273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4D7"/>
    <w:rPr>
      <w:rFonts w:eastAsiaTheme="majorEastAsia" w:cstheme="majorBidi"/>
      <w:color w:val="272727" w:themeColor="text1" w:themeTint="D8"/>
    </w:rPr>
  </w:style>
  <w:style w:type="paragraph" w:styleId="Title">
    <w:name w:val="Title"/>
    <w:basedOn w:val="Normal"/>
    <w:next w:val="Normal"/>
    <w:link w:val="TitleChar"/>
    <w:uiPriority w:val="10"/>
    <w:qFormat/>
    <w:rsid w:val="00273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4D7"/>
    <w:pPr>
      <w:spacing w:before="160"/>
      <w:jc w:val="center"/>
    </w:pPr>
    <w:rPr>
      <w:i/>
      <w:iCs/>
      <w:color w:val="404040" w:themeColor="text1" w:themeTint="BF"/>
    </w:rPr>
  </w:style>
  <w:style w:type="character" w:customStyle="1" w:styleId="QuoteChar">
    <w:name w:val="Quote Char"/>
    <w:basedOn w:val="DefaultParagraphFont"/>
    <w:link w:val="Quote"/>
    <w:uiPriority w:val="29"/>
    <w:rsid w:val="002734D7"/>
    <w:rPr>
      <w:i/>
      <w:iCs/>
      <w:color w:val="404040" w:themeColor="text1" w:themeTint="BF"/>
    </w:rPr>
  </w:style>
  <w:style w:type="paragraph" w:styleId="ListParagraph">
    <w:name w:val="List Paragraph"/>
    <w:basedOn w:val="Normal"/>
    <w:uiPriority w:val="34"/>
    <w:qFormat/>
    <w:rsid w:val="002734D7"/>
    <w:pPr>
      <w:ind w:left="720"/>
      <w:contextualSpacing/>
    </w:pPr>
  </w:style>
  <w:style w:type="character" w:styleId="IntenseEmphasis">
    <w:name w:val="Intense Emphasis"/>
    <w:basedOn w:val="DefaultParagraphFont"/>
    <w:uiPriority w:val="21"/>
    <w:qFormat/>
    <w:rsid w:val="002734D7"/>
    <w:rPr>
      <w:i/>
      <w:iCs/>
      <w:color w:val="0F4761" w:themeColor="accent1" w:themeShade="BF"/>
    </w:rPr>
  </w:style>
  <w:style w:type="paragraph" w:styleId="IntenseQuote">
    <w:name w:val="Intense Quote"/>
    <w:basedOn w:val="Normal"/>
    <w:next w:val="Normal"/>
    <w:link w:val="IntenseQuoteChar"/>
    <w:uiPriority w:val="30"/>
    <w:qFormat/>
    <w:rsid w:val="00273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4D7"/>
    <w:rPr>
      <w:i/>
      <w:iCs/>
      <w:color w:val="0F4761" w:themeColor="accent1" w:themeShade="BF"/>
    </w:rPr>
  </w:style>
  <w:style w:type="character" w:styleId="IntenseReference">
    <w:name w:val="Intense Reference"/>
    <w:basedOn w:val="DefaultParagraphFont"/>
    <w:uiPriority w:val="32"/>
    <w:qFormat/>
    <w:rsid w:val="002734D7"/>
    <w:rPr>
      <w:b/>
      <w:bCs/>
      <w:smallCaps/>
      <w:color w:val="0F4761" w:themeColor="accent1" w:themeShade="BF"/>
      <w:spacing w:val="5"/>
    </w:rPr>
  </w:style>
  <w:style w:type="character" w:styleId="CommentReference">
    <w:name w:val="annotation reference"/>
    <w:basedOn w:val="DefaultParagraphFont"/>
    <w:uiPriority w:val="99"/>
    <w:semiHidden/>
    <w:unhideWhenUsed/>
    <w:rsid w:val="002734D7"/>
    <w:rPr>
      <w:sz w:val="16"/>
      <w:szCs w:val="16"/>
    </w:rPr>
  </w:style>
  <w:style w:type="paragraph" w:customStyle="1" w:styleId="CommentText1">
    <w:name w:val="Comment Text1"/>
    <w:basedOn w:val="Normal"/>
    <w:next w:val="CommentText"/>
    <w:link w:val="CommentTextChar"/>
    <w:uiPriority w:val="99"/>
    <w:unhideWhenUsed/>
    <w:rsid w:val="002734D7"/>
    <w:pPr>
      <w:spacing w:line="240" w:lineRule="auto"/>
    </w:pPr>
    <w:rPr>
      <w:sz w:val="20"/>
      <w:szCs w:val="20"/>
    </w:rPr>
  </w:style>
  <w:style w:type="character" w:customStyle="1" w:styleId="CommentTextChar">
    <w:name w:val="Comment Text Char"/>
    <w:basedOn w:val="DefaultParagraphFont"/>
    <w:link w:val="CommentText1"/>
    <w:uiPriority w:val="99"/>
    <w:rsid w:val="002734D7"/>
    <w:rPr>
      <w:sz w:val="20"/>
      <w:szCs w:val="20"/>
    </w:rPr>
  </w:style>
  <w:style w:type="paragraph" w:customStyle="1" w:styleId="Footer1">
    <w:name w:val="Footer1"/>
    <w:basedOn w:val="Normal"/>
    <w:next w:val="Footer"/>
    <w:link w:val="FooterChar"/>
    <w:uiPriority w:val="99"/>
    <w:unhideWhenUsed/>
    <w:rsid w:val="002734D7"/>
    <w:pPr>
      <w:tabs>
        <w:tab w:val="center" w:pos="4680"/>
        <w:tab w:val="right" w:pos="9360"/>
      </w:tabs>
      <w:spacing w:after="0" w:line="240" w:lineRule="auto"/>
    </w:pPr>
  </w:style>
  <w:style w:type="character" w:customStyle="1" w:styleId="FooterChar">
    <w:name w:val="Footer Char"/>
    <w:basedOn w:val="DefaultParagraphFont"/>
    <w:link w:val="Footer1"/>
    <w:uiPriority w:val="99"/>
    <w:rsid w:val="002734D7"/>
  </w:style>
  <w:style w:type="paragraph" w:styleId="CommentText">
    <w:name w:val="annotation text"/>
    <w:basedOn w:val="Normal"/>
    <w:link w:val="CommentTextChar1"/>
    <w:uiPriority w:val="99"/>
    <w:semiHidden/>
    <w:unhideWhenUsed/>
    <w:rsid w:val="002734D7"/>
    <w:pPr>
      <w:spacing w:line="240" w:lineRule="auto"/>
    </w:pPr>
    <w:rPr>
      <w:sz w:val="20"/>
      <w:szCs w:val="20"/>
    </w:rPr>
  </w:style>
  <w:style w:type="character" w:customStyle="1" w:styleId="CommentTextChar1">
    <w:name w:val="Comment Text Char1"/>
    <w:basedOn w:val="DefaultParagraphFont"/>
    <w:link w:val="CommentText"/>
    <w:uiPriority w:val="99"/>
    <w:semiHidden/>
    <w:rsid w:val="002734D7"/>
    <w:rPr>
      <w:sz w:val="20"/>
      <w:szCs w:val="20"/>
    </w:rPr>
  </w:style>
  <w:style w:type="paragraph" w:styleId="Footer">
    <w:name w:val="footer"/>
    <w:basedOn w:val="Normal"/>
    <w:link w:val="FooterChar1"/>
    <w:uiPriority w:val="99"/>
    <w:semiHidden/>
    <w:unhideWhenUsed/>
    <w:rsid w:val="002734D7"/>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27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owadeptblind.wufoo.com/forms/zvrywj80kfnx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3023</Words>
  <Characters>17236</Characters>
  <Application>Microsoft Office Word</Application>
  <DocSecurity>4</DocSecurity>
  <Lines>143</Lines>
  <Paragraphs>40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REFERRAL – 34 CFR 361.41 </vt:lpstr>
      <vt:lpstr>APPLICATION 34 CFR 361.41</vt:lpstr>
      <vt:lpstr>    SUPPORTING DOCUMENTATION </vt:lpstr>
      <vt:lpstr>ASSESSMENT FOR DETERMINING ELIGIBILITY - 34 CFR 361.42</vt:lpstr>
      <vt:lpstr>    BASIC ELIGIBILITY REQUIREMENTS</vt:lpstr>
      <vt:lpstr>    PRESUMPTION OF BENEFIT</vt:lpstr>
      <vt:lpstr>    PRESUMPTION OF ELIGIBILITY FOR SOCIAL SECURITY RECIPIENTS AND BENEFICIARIES</vt:lpstr>
      <vt:lpstr>    ACHIEVEMENT OF AN EMPLOYMENT OUTCOME</vt:lpstr>
      <vt:lpstr>    PROHIBITED FACTORS.</vt:lpstr>
      <vt:lpstr>    REVIEW AND ASSESSMENT OF DATA FOR DETERMINING ELIGIBILITY</vt:lpstr>
      <vt:lpstr>    SIGNIFIGANCE OF DISABILITY</vt:lpstr>
      <vt:lpstr>    TIMELINE TO DETERMINE ELIGIBILTY</vt:lpstr>
      <vt:lpstr>    APPLICANTS AND CLIENTS WHO HAVE AN OPEN CASE WITH ANOTHER VR AGENCY</vt:lpstr>
      <vt:lpstr>    SUPPORTING DOCUMENTATION</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Osterhaus</dc:creator>
  <cp:keywords/>
  <dc:description/>
  <cp:lastModifiedBy>Janice Eggers</cp:lastModifiedBy>
  <cp:revision>2</cp:revision>
  <dcterms:created xsi:type="dcterms:W3CDTF">2024-03-06T21:39:00Z</dcterms:created>
  <dcterms:modified xsi:type="dcterms:W3CDTF">2024-03-06T21:39:00Z</dcterms:modified>
</cp:coreProperties>
</file>