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FB3B" w14:textId="73A5B0B6" w:rsidR="006F66FF" w:rsidRDefault="00286A14" w:rsidP="00286A14">
      <w:pPr>
        <w:jc w:val="center"/>
        <w:rPr>
          <w:b/>
          <w:bCs/>
          <w:u w:val="single"/>
        </w:rPr>
      </w:pPr>
      <w:r>
        <w:rPr>
          <w:b/>
          <w:bCs/>
          <w:u w:val="single"/>
        </w:rPr>
        <w:t>Rationale for Budget Increase</w:t>
      </w:r>
    </w:p>
    <w:p w14:paraId="6B10BDAF" w14:textId="62B2F363" w:rsidR="000562A9" w:rsidRPr="00447BE2" w:rsidRDefault="00286A14" w:rsidP="000562A9">
      <w:r>
        <w:t>Please</w:t>
      </w:r>
      <w:r w:rsidR="00F559F2">
        <w:t xml:space="preserve"> see the table with</w:t>
      </w:r>
      <w:r w:rsidR="00F10406">
        <w:t xml:space="preserve"> requests above a status quo budget. Below the table, you will find a table of contents with </w:t>
      </w:r>
      <w:r w:rsidR="00DE5669">
        <w:t>links to the rationale for the various items.</w:t>
      </w:r>
    </w:p>
    <w:tbl>
      <w:tblPr>
        <w:tblW w:w="20780" w:type="dxa"/>
        <w:tblInd w:w="5" w:type="dxa"/>
        <w:tblLook w:val="04A0" w:firstRow="1" w:lastRow="0" w:firstColumn="1" w:lastColumn="0" w:noHBand="0" w:noVBand="1"/>
      </w:tblPr>
      <w:tblGrid>
        <w:gridCol w:w="2420"/>
        <w:gridCol w:w="1940"/>
        <w:gridCol w:w="1020"/>
        <w:gridCol w:w="15400"/>
      </w:tblGrid>
      <w:tr w:rsidR="005330DF" w:rsidRPr="000562A9" w14:paraId="1E0DB65F" w14:textId="77777777" w:rsidTr="005330DF">
        <w:trPr>
          <w:trHeight w:val="915"/>
        </w:trPr>
        <w:tc>
          <w:tcPr>
            <w:tcW w:w="2420" w:type="dxa"/>
            <w:tcBorders>
              <w:top w:val="nil"/>
              <w:left w:val="nil"/>
              <w:bottom w:val="single" w:sz="8" w:space="0" w:color="000000"/>
              <w:right w:val="single" w:sz="4" w:space="0" w:color="000000"/>
            </w:tcBorders>
            <w:shd w:val="clear" w:color="000000" w:fill="BFBFBF"/>
            <w:vAlign w:val="bottom"/>
            <w:hideMark/>
          </w:tcPr>
          <w:p w14:paraId="4CEADE3C" w14:textId="77777777" w:rsidR="005330DF" w:rsidRPr="000562A9" w:rsidRDefault="005330DF" w:rsidP="000562A9">
            <w:pPr>
              <w:spacing w:after="0" w:line="240" w:lineRule="auto"/>
              <w:jc w:val="center"/>
              <w:rPr>
                <w:rFonts w:ascii="Calibri" w:eastAsia="Times New Roman" w:hAnsi="Calibri" w:cs="Calibri"/>
                <w:b/>
                <w:bCs/>
                <w:color w:val="000000"/>
                <w:kern w:val="0"/>
                <w:sz w:val="22"/>
                <w:szCs w:val="22"/>
                <w14:ligatures w14:val="none"/>
              </w:rPr>
            </w:pPr>
            <w:r w:rsidRPr="000562A9">
              <w:rPr>
                <w:rFonts w:ascii="Calibri" w:eastAsia="Times New Roman" w:hAnsi="Calibri" w:cs="Calibri"/>
                <w:b/>
                <w:bCs/>
                <w:color w:val="000000"/>
                <w:kern w:val="0"/>
                <w:sz w:val="22"/>
                <w:szCs w:val="22"/>
                <w14:ligatures w14:val="none"/>
              </w:rPr>
              <w:t>Unit</w:t>
            </w:r>
          </w:p>
        </w:tc>
        <w:tc>
          <w:tcPr>
            <w:tcW w:w="1940" w:type="dxa"/>
            <w:tcBorders>
              <w:top w:val="nil"/>
              <w:left w:val="nil"/>
              <w:bottom w:val="single" w:sz="8" w:space="0" w:color="000000"/>
              <w:right w:val="single" w:sz="4" w:space="0" w:color="000000"/>
            </w:tcBorders>
            <w:shd w:val="clear" w:color="000000" w:fill="BFBFBF"/>
            <w:vAlign w:val="bottom"/>
            <w:hideMark/>
          </w:tcPr>
          <w:p w14:paraId="1BCE2D94" w14:textId="77777777" w:rsidR="005330DF" w:rsidRPr="000562A9" w:rsidRDefault="005330DF" w:rsidP="000562A9">
            <w:pPr>
              <w:spacing w:after="0" w:line="240" w:lineRule="auto"/>
              <w:jc w:val="center"/>
              <w:rPr>
                <w:rFonts w:ascii="Calibri" w:eastAsia="Times New Roman" w:hAnsi="Calibri" w:cs="Calibri"/>
                <w:b/>
                <w:bCs/>
                <w:color w:val="000000"/>
                <w:kern w:val="0"/>
                <w:sz w:val="22"/>
                <w:szCs w:val="22"/>
                <w14:ligatures w14:val="none"/>
              </w:rPr>
            </w:pPr>
            <w:r w:rsidRPr="000562A9">
              <w:rPr>
                <w:rFonts w:ascii="Calibri" w:eastAsia="Times New Roman" w:hAnsi="Calibri" w:cs="Calibri"/>
                <w:b/>
                <w:bCs/>
                <w:color w:val="000000"/>
                <w:kern w:val="0"/>
                <w:sz w:val="22"/>
                <w:szCs w:val="22"/>
                <w14:ligatures w14:val="none"/>
              </w:rPr>
              <w:t xml:space="preserve"> FY26 Requested Increase </w:t>
            </w:r>
          </w:p>
        </w:tc>
        <w:tc>
          <w:tcPr>
            <w:tcW w:w="1020" w:type="dxa"/>
            <w:tcBorders>
              <w:top w:val="nil"/>
              <w:left w:val="nil"/>
              <w:bottom w:val="single" w:sz="8" w:space="0" w:color="000000"/>
              <w:right w:val="single" w:sz="4" w:space="0" w:color="000000"/>
            </w:tcBorders>
            <w:shd w:val="clear" w:color="000000" w:fill="BFBFBF"/>
            <w:vAlign w:val="bottom"/>
            <w:hideMark/>
          </w:tcPr>
          <w:p w14:paraId="059E718A" w14:textId="77777777" w:rsidR="005330DF" w:rsidRPr="000562A9" w:rsidRDefault="005330DF" w:rsidP="000562A9">
            <w:pPr>
              <w:spacing w:after="0" w:line="240" w:lineRule="auto"/>
              <w:jc w:val="center"/>
              <w:rPr>
                <w:rFonts w:ascii="Calibri" w:eastAsia="Times New Roman" w:hAnsi="Calibri" w:cs="Calibri"/>
                <w:b/>
                <w:bCs/>
                <w:color w:val="000000"/>
                <w:kern w:val="0"/>
                <w:sz w:val="22"/>
                <w:szCs w:val="22"/>
                <w14:ligatures w14:val="none"/>
              </w:rPr>
            </w:pPr>
            <w:r w:rsidRPr="000562A9">
              <w:rPr>
                <w:rFonts w:ascii="Calibri" w:eastAsia="Times New Roman" w:hAnsi="Calibri" w:cs="Calibri"/>
                <w:b/>
                <w:bCs/>
                <w:color w:val="000000"/>
                <w:kern w:val="0"/>
                <w:sz w:val="22"/>
                <w:szCs w:val="22"/>
                <w14:ligatures w14:val="none"/>
              </w:rPr>
              <w:t>New FTE?</w:t>
            </w:r>
          </w:p>
        </w:tc>
        <w:tc>
          <w:tcPr>
            <w:tcW w:w="15400" w:type="dxa"/>
            <w:tcBorders>
              <w:top w:val="nil"/>
              <w:left w:val="nil"/>
              <w:bottom w:val="nil"/>
              <w:right w:val="single" w:sz="4" w:space="0" w:color="000000"/>
            </w:tcBorders>
            <w:shd w:val="clear" w:color="000000" w:fill="BFBFBF"/>
            <w:vAlign w:val="bottom"/>
            <w:hideMark/>
          </w:tcPr>
          <w:p w14:paraId="2A767906" w14:textId="77777777" w:rsidR="005330DF" w:rsidRPr="000562A9" w:rsidRDefault="005330DF" w:rsidP="000562A9">
            <w:pPr>
              <w:spacing w:after="0" w:line="240" w:lineRule="auto"/>
              <w:jc w:val="center"/>
              <w:rPr>
                <w:rFonts w:ascii="Calibri" w:eastAsia="Times New Roman" w:hAnsi="Calibri" w:cs="Calibri"/>
                <w:b/>
                <w:bCs/>
                <w:color w:val="000000"/>
                <w:kern w:val="0"/>
                <w:sz w:val="22"/>
                <w:szCs w:val="22"/>
                <w14:ligatures w14:val="none"/>
              </w:rPr>
            </w:pPr>
            <w:r w:rsidRPr="000562A9">
              <w:rPr>
                <w:rFonts w:ascii="Calibri" w:eastAsia="Times New Roman" w:hAnsi="Calibri" w:cs="Calibri"/>
                <w:b/>
                <w:bCs/>
                <w:color w:val="000000"/>
                <w:kern w:val="0"/>
                <w:sz w:val="22"/>
                <w:szCs w:val="22"/>
                <w14:ligatures w14:val="none"/>
              </w:rPr>
              <w:t>Explanation</w:t>
            </w:r>
          </w:p>
        </w:tc>
      </w:tr>
      <w:tr w:rsidR="005330DF" w:rsidRPr="000562A9" w14:paraId="3C82967D" w14:textId="77777777" w:rsidTr="005330DF">
        <w:trPr>
          <w:trHeight w:val="255"/>
        </w:trPr>
        <w:tc>
          <w:tcPr>
            <w:tcW w:w="2420" w:type="dxa"/>
            <w:tcBorders>
              <w:top w:val="nil"/>
              <w:left w:val="nil"/>
              <w:bottom w:val="single" w:sz="4" w:space="0" w:color="000000"/>
              <w:right w:val="single" w:sz="4" w:space="0" w:color="000000"/>
            </w:tcBorders>
            <w:vAlign w:val="bottom"/>
            <w:hideMark/>
          </w:tcPr>
          <w:p w14:paraId="75EAD0D4"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Multiple</w:t>
            </w:r>
          </w:p>
        </w:tc>
        <w:tc>
          <w:tcPr>
            <w:tcW w:w="1940" w:type="dxa"/>
            <w:tcBorders>
              <w:top w:val="nil"/>
              <w:left w:val="nil"/>
              <w:bottom w:val="single" w:sz="4" w:space="0" w:color="000000"/>
              <w:right w:val="single" w:sz="4" w:space="0" w:color="000000"/>
            </w:tcBorders>
            <w:vAlign w:val="bottom"/>
            <w:hideMark/>
          </w:tcPr>
          <w:p w14:paraId="3FC93F92"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700,000 </w:t>
            </w:r>
          </w:p>
        </w:tc>
        <w:tc>
          <w:tcPr>
            <w:tcW w:w="1020" w:type="dxa"/>
            <w:tcBorders>
              <w:top w:val="nil"/>
              <w:left w:val="nil"/>
              <w:bottom w:val="single" w:sz="4" w:space="0" w:color="000000"/>
              <w:right w:val="nil"/>
            </w:tcBorders>
            <w:vAlign w:val="bottom"/>
            <w:hideMark/>
          </w:tcPr>
          <w:p w14:paraId="291F5AD7"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single" w:sz="4" w:space="0" w:color="auto"/>
              <w:left w:val="single" w:sz="4" w:space="0" w:color="auto"/>
              <w:bottom w:val="single" w:sz="4" w:space="0" w:color="000000"/>
              <w:right w:val="single" w:sz="4" w:space="0" w:color="auto"/>
            </w:tcBorders>
            <w:vAlign w:val="bottom"/>
            <w:hideMark/>
          </w:tcPr>
          <w:p w14:paraId="32ECABAB"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Seven new Instructors</w:t>
            </w:r>
          </w:p>
        </w:tc>
      </w:tr>
      <w:tr w:rsidR="005330DF" w:rsidRPr="000562A9" w14:paraId="7ED7FC02" w14:textId="77777777" w:rsidTr="005330DF">
        <w:trPr>
          <w:trHeight w:val="255"/>
        </w:trPr>
        <w:tc>
          <w:tcPr>
            <w:tcW w:w="2420" w:type="dxa"/>
            <w:tcBorders>
              <w:top w:val="nil"/>
              <w:left w:val="nil"/>
              <w:bottom w:val="single" w:sz="4" w:space="0" w:color="000000"/>
              <w:right w:val="single" w:sz="4" w:space="0" w:color="000000"/>
            </w:tcBorders>
            <w:vAlign w:val="bottom"/>
            <w:hideMark/>
          </w:tcPr>
          <w:p w14:paraId="79C29DA1"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Multiple</w:t>
            </w:r>
          </w:p>
        </w:tc>
        <w:tc>
          <w:tcPr>
            <w:tcW w:w="1940" w:type="dxa"/>
            <w:tcBorders>
              <w:top w:val="nil"/>
              <w:left w:val="nil"/>
              <w:bottom w:val="nil"/>
              <w:right w:val="single" w:sz="4" w:space="0" w:color="000000"/>
            </w:tcBorders>
            <w:vAlign w:val="bottom"/>
            <w:hideMark/>
          </w:tcPr>
          <w:p w14:paraId="6182666E"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438,878 </w:t>
            </w:r>
          </w:p>
        </w:tc>
        <w:tc>
          <w:tcPr>
            <w:tcW w:w="1020" w:type="dxa"/>
            <w:tcBorders>
              <w:top w:val="nil"/>
              <w:left w:val="nil"/>
              <w:bottom w:val="single" w:sz="4" w:space="0" w:color="000000"/>
              <w:right w:val="nil"/>
            </w:tcBorders>
            <w:vAlign w:val="bottom"/>
            <w:hideMark/>
          </w:tcPr>
          <w:p w14:paraId="5521A953"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nil"/>
              <w:left w:val="single" w:sz="4" w:space="0" w:color="auto"/>
              <w:bottom w:val="nil"/>
              <w:right w:val="single" w:sz="4" w:space="0" w:color="auto"/>
            </w:tcBorders>
            <w:vAlign w:val="bottom"/>
            <w:hideMark/>
          </w:tcPr>
          <w:p w14:paraId="0769BF2E"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Salary/Benefit increases for existing FTE's</w:t>
            </w:r>
          </w:p>
        </w:tc>
      </w:tr>
      <w:tr w:rsidR="005330DF" w:rsidRPr="000562A9" w14:paraId="72779C6A" w14:textId="77777777" w:rsidTr="005330DF">
        <w:trPr>
          <w:trHeight w:val="255"/>
        </w:trPr>
        <w:tc>
          <w:tcPr>
            <w:tcW w:w="2420" w:type="dxa"/>
            <w:tcBorders>
              <w:top w:val="nil"/>
              <w:left w:val="nil"/>
              <w:bottom w:val="single" w:sz="4" w:space="0" w:color="000000"/>
              <w:right w:val="single" w:sz="4" w:space="0" w:color="000000"/>
            </w:tcBorders>
            <w:vAlign w:val="bottom"/>
            <w:hideMark/>
          </w:tcPr>
          <w:p w14:paraId="77B1C26E"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RE11</w:t>
            </w:r>
          </w:p>
        </w:tc>
        <w:tc>
          <w:tcPr>
            <w:tcW w:w="1940" w:type="dxa"/>
            <w:tcBorders>
              <w:top w:val="single" w:sz="4" w:space="0" w:color="000000"/>
              <w:left w:val="nil"/>
              <w:bottom w:val="nil"/>
              <w:right w:val="single" w:sz="4" w:space="0" w:color="000000"/>
            </w:tcBorders>
            <w:vAlign w:val="bottom"/>
            <w:hideMark/>
          </w:tcPr>
          <w:p w14:paraId="49E85BD6"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140,370 </w:t>
            </w:r>
          </w:p>
        </w:tc>
        <w:tc>
          <w:tcPr>
            <w:tcW w:w="1020" w:type="dxa"/>
            <w:tcBorders>
              <w:top w:val="nil"/>
              <w:left w:val="nil"/>
              <w:bottom w:val="nil"/>
              <w:right w:val="nil"/>
            </w:tcBorders>
            <w:vAlign w:val="bottom"/>
            <w:hideMark/>
          </w:tcPr>
          <w:p w14:paraId="2084B372"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single" w:sz="4" w:space="0" w:color="auto"/>
              <w:left w:val="single" w:sz="4" w:space="0" w:color="auto"/>
              <w:bottom w:val="single" w:sz="4" w:space="0" w:color="auto"/>
              <w:right w:val="single" w:sz="4" w:space="0" w:color="auto"/>
            </w:tcBorders>
            <w:vAlign w:val="bottom"/>
            <w:hideMark/>
          </w:tcPr>
          <w:p w14:paraId="1DE4ED7D"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New Deputy Director Position</w:t>
            </w:r>
          </w:p>
        </w:tc>
      </w:tr>
      <w:tr w:rsidR="005330DF" w:rsidRPr="000562A9" w14:paraId="36CD6123" w14:textId="77777777" w:rsidTr="005330DF">
        <w:trPr>
          <w:trHeight w:val="255"/>
        </w:trPr>
        <w:tc>
          <w:tcPr>
            <w:tcW w:w="2420" w:type="dxa"/>
            <w:tcBorders>
              <w:top w:val="nil"/>
              <w:left w:val="nil"/>
              <w:bottom w:val="single" w:sz="4" w:space="0" w:color="000000"/>
              <w:right w:val="single" w:sz="4" w:space="0" w:color="000000"/>
            </w:tcBorders>
            <w:vAlign w:val="bottom"/>
            <w:hideMark/>
          </w:tcPr>
          <w:p w14:paraId="4DBB2B25"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Multiple</w:t>
            </w:r>
          </w:p>
        </w:tc>
        <w:tc>
          <w:tcPr>
            <w:tcW w:w="1940" w:type="dxa"/>
            <w:tcBorders>
              <w:top w:val="single" w:sz="4" w:space="0" w:color="000000"/>
              <w:left w:val="nil"/>
              <w:bottom w:val="single" w:sz="4" w:space="0" w:color="auto"/>
              <w:right w:val="single" w:sz="4" w:space="0" w:color="auto"/>
            </w:tcBorders>
            <w:vAlign w:val="bottom"/>
            <w:hideMark/>
          </w:tcPr>
          <w:p w14:paraId="799FF6FF"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15,000 </w:t>
            </w:r>
          </w:p>
        </w:tc>
        <w:tc>
          <w:tcPr>
            <w:tcW w:w="1020" w:type="dxa"/>
            <w:tcBorders>
              <w:top w:val="single" w:sz="4" w:space="0" w:color="auto"/>
              <w:left w:val="nil"/>
              <w:bottom w:val="single" w:sz="4" w:space="0" w:color="auto"/>
              <w:right w:val="nil"/>
            </w:tcBorders>
            <w:vAlign w:val="bottom"/>
            <w:hideMark/>
          </w:tcPr>
          <w:p w14:paraId="4A982C32"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nil"/>
              <w:left w:val="single" w:sz="4" w:space="0" w:color="auto"/>
              <w:bottom w:val="single" w:sz="4" w:space="0" w:color="auto"/>
              <w:right w:val="single" w:sz="4" w:space="0" w:color="auto"/>
            </w:tcBorders>
            <w:vAlign w:val="bottom"/>
            <w:hideMark/>
          </w:tcPr>
          <w:p w14:paraId="4AE46396"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Transportation benefits (parking and bus passes)</w:t>
            </w:r>
          </w:p>
        </w:tc>
      </w:tr>
      <w:tr w:rsidR="005330DF" w:rsidRPr="000562A9" w14:paraId="169773C8" w14:textId="77777777" w:rsidTr="005330DF">
        <w:trPr>
          <w:trHeight w:val="300"/>
        </w:trPr>
        <w:tc>
          <w:tcPr>
            <w:tcW w:w="2420" w:type="dxa"/>
            <w:tcBorders>
              <w:top w:val="nil"/>
              <w:left w:val="nil"/>
              <w:bottom w:val="single" w:sz="4" w:space="0" w:color="000000"/>
              <w:right w:val="single" w:sz="4" w:space="0" w:color="000000"/>
            </w:tcBorders>
            <w:vAlign w:val="bottom"/>
            <w:hideMark/>
          </w:tcPr>
          <w:p w14:paraId="2517D1CC"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FOPR</w:t>
            </w:r>
          </w:p>
        </w:tc>
        <w:tc>
          <w:tcPr>
            <w:tcW w:w="1940" w:type="dxa"/>
            <w:tcBorders>
              <w:top w:val="nil"/>
              <w:left w:val="nil"/>
              <w:bottom w:val="single" w:sz="4" w:space="0" w:color="auto"/>
              <w:right w:val="single" w:sz="4" w:space="0" w:color="000000"/>
            </w:tcBorders>
            <w:vAlign w:val="bottom"/>
            <w:hideMark/>
          </w:tcPr>
          <w:p w14:paraId="0D32E01C"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10,000 </w:t>
            </w:r>
          </w:p>
        </w:tc>
        <w:tc>
          <w:tcPr>
            <w:tcW w:w="1020" w:type="dxa"/>
            <w:tcBorders>
              <w:top w:val="nil"/>
              <w:left w:val="nil"/>
              <w:bottom w:val="single" w:sz="4" w:space="0" w:color="auto"/>
              <w:right w:val="nil"/>
            </w:tcBorders>
            <w:vAlign w:val="bottom"/>
            <w:hideMark/>
          </w:tcPr>
          <w:p w14:paraId="25992C0F"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nil"/>
              <w:left w:val="single" w:sz="4" w:space="0" w:color="auto"/>
              <w:bottom w:val="single" w:sz="4" w:space="0" w:color="auto"/>
              <w:right w:val="single" w:sz="4" w:space="0" w:color="auto"/>
            </w:tcBorders>
            <w:vAlign w:val="bottom"/>
            <w:hideMark/>
          </w:tcPr>
          <w:p w14:paraId="003BF0F4" w14:textId="77777777" w:rsidR="005330DF" w:rsidRPr="000562A9" w:rsidRDefault="005330DF" w:rsidP="000562A9">
            <w:pPr>
              <w:spacing w:after="0" w:line="240" w:lineRule="auto"/>
              <w:rPr>
                <w:rFonts w:ascii="Calibri" w:eastAsia="Times New Roman" w:hAnsi="Calibri" w:cs="Calibri"/>
                <w:color w:val="000000"/>
                <w:kern w:val="0"/>
                <w:sz w:val="22"/>
                <w:szCs w:val="22"/>
                <w14:ligatures w14:val="none"/>
              </w:rPr>
            </w:pPr>
            <w:r w:rsidRPr="000562A9">
              <w:rPr>
                <w:rFonts w:ascii="Calibri" w:eastAsia="Times New Roman" w:hAnsi="Calibri" w:cs="Calibri"/>
                <w:color w:val="000000"/>
                <w:kern w:val="0"/>
                <w:sz w:val="22"/>
                <w:szCs w:val="22"/>
                <w14:ligatures w14:val="none"/>
              </w:rPr>
              <w:t>Field Operations intern that was not budgeted in current fiscal year</w:t>
            </w:r>
          </w:p>
        </w:tc>
      </w:tr>
      <w:tr w:rsidR="005330DF" w:rsidRPr="000562A9" w14:paraId="411BCD73" w14:textId="77777777" w:rsidTr="005330DF">
        <w:trPr>
          <w:trHeight w:val="255"/>
        </w:trPr>
        <w:tc>
          <w:tcPr>
            <w:tcW w:w="2420" w:type="dxa"/>
            <w:tcBorders>
              <w:top w:val="nil"/>
              <w:left w:val="nil"/>
              <w:bottom w:val="single" w:sz="4" w:space="0" w:color="000000"/>
              <w:right w:val="single" w:sz="4" w:space="0" w:color="000000"/>
            </w:tcBorders>
            <w:vAlign w:val="bottom"/>
            <w:hideMark/>
          </w:tcPr>
          <w:p w14:paraId="2B9E104A"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RE11</w:t>
            </w:r>
          </w:p>
        </w:tc>
        <w:tc>
          <w:tcPr>
            <w:tcW w:w="1940" w:type="dxa"/>
            <w:tcBorders>
              <w:top w:val="nil"/>
              <w:left w:val="nil"/>
              <w:bottom w:val="single" w:sz="4" w:space="0" w:color="auto"/>
              <w:right w:val="nil"/>
            </w:tcBorders>
            <w:vAlign w:val="bottom"/>
            <w:hideMark/>
          </w:tcPr>
          <w:p w14:paraId="5FDB7C98"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7,000 </w:t>
            </w:r>
          </w:p>
        </w:tc>
        <w:tc>
          <w:tcPr>
            <w:tcW w:w="1020" w:type="dxa"/>
            <w:tcBorders>
              <w:top w:val="nil"/>
              <w:left w:val="nil"/>
              <w:bottom w:val="single" w:sz="4" w:space="0" w:color="auto"/>
              <w:right w:val="nil"/>
            </w:tcBorders>
            <w:vAlign w:val="bottom"/>
            <w:hideMark/>
          </w:tcPr>
          <w:p w14:paraId="755BD32E"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nil"/>
              <w:left w:val="single" w:sz="4" w:space="0" w:color="auto"/>
              <w:bottom w:val="single" w:sz="4" w:space="0" w:color="auto"/>
              <w:right w:val="single" w:sz="4" w:space="0" w:color="auto"/>
            </w:tcBorders>
            <w:vAlign w:val="bottom"/>
            <w:hideMark/>
          </w:tcPr>
          <w:p w14:paraId="5EC18518"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Travel funding for additional staff to accompany Director</w:t>
            </w:r>
          </w:p>
        </w:tc>
      </w:tr>
      <w:tr w:rsidR="005330DF" w:rsidRPr="000562A9" w14:paraId="51B2BEBD" w14:textId="77777777" w:rsidTr="005330DF">
        <w:trPr>
          <w:trHeight w:val="255"/>
        </w:trPr>
        <w:tc>
          <w:tcPr>
            <w:tcW w:w="2420" w:type="dxa"/>
            <w:tcBorders>
              <w:top w:val="nil"/>
              <w:left w:val="nil"/>
              <w:bottom w:val="single" w:sz="4" w:space="0" w:color="000000"/>
              <w:right w:val="single" w:sz="4" w:space="0" w:color="000000"/>
            </w:tcBorders>
            <w:vAlign w:val="bottom"/>
            <w:hideMark/>
          </w:tcPr>
          <w:p w14:paraId="030144B9"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Multiple</w:t>
            </w:r>
          </w:p>
        </w:tc>
        <w:tc>
          <w:tcPr>
            <w:tcW w:w="1940" w:type="dxa"/>
            <w:tcBorders>
              <w:top w:val="nil"/>
              <w:left w:val="nil"/>
              <w:bottom w:val="single" w:sz="4" w:space="0" w:color="auto"/>
              <w:right w:val="nil"/>
            </w:tcBorders>
            <w:vAlign w:val="bottom"/>
            <w:hideMark/>
          </w:tcPr>
          <w:p w14:paraId="7FFC8C26"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108,991 </w:t>
            </w:r>
          </w:p>
        </w:tc>
        <w:tc>
          <w:tcPr>
            <w:tcW w:w="1020" w:type="dxa"/>
            <w:tcBorders>
              <w:top w:val="nil"/>
              <w:left w:val="nil"/>
              <w:bottom w:val="single" w:sz="4" w:space="0" w:color="auto"/>
              <w:right w:val="nil"/>
            </w:tcBorders>
            <w:vAlign w:val="bottom"/>
            <w:hideMark/>
          </w:tcPr>
          <w:p w14:paraId="63995F4A"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nil"/>
              <w:left w:val="single" w:sz="4" w:space="0" w:color="auto"/>
              <w:bottom w:val="single" w:sz="4" w:space="0" w:color="auto"/>
              <w:right w:val="single" w:sz="4" w:space="0" w:color="auto"/>
            </w:tcBorders>
            <w:vAlign w:val="bottom"/>
            <w:hideMark/>
          </w:tcPr>
          <w:p w14:paraId="0DE97ED1"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Inflationary increases to operational costs</w:t>
            </w:r>
          </w:p>
        </w:tc>
      </w:tr>
      <w:tr w:rsidR="005330DF" w:rsidRPr="000562A9" w14:paraId="112A1489" w14:textId="77777777" w:rsidTr="005330DF">
        <w:trPr>
          <w:trHeight w:val="255"/>
        </w:trPr>
        <w:tc>
          <w:tcPr>
            <w:tcW w:w="2420" w:type="dxa"/>
            <w:tcBorders>
              <w:top w:val="nil"/>
              <w:left w:val="nil"/>
              <w:bottom w:val="single" w:sz="4" w:space="0" w:color="000000"/>
              <w:right w:val="single" w:sz="4" w:space="0" w:color="000000"/>
            </w:tcBorders>
            <w:vAlign w:val="bottom"/>
            <w:hideMark/>
          </w:tcPr>
          <w:p w14:paraId="73BE6438"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RE11</w:t>
            </w:r>
          </w:p>
        </w:tc>
        <w:tc>
          <w:tcPr>
            <w:tcW w:w="1940" w:type="dxa"/>
            <w:tcBorders>
              <w:top w:val="nil"/>
              <w:left w:val="nil"/>
              <w:bottom w:val="single" w:sz="4" w:space="0" w:color="auto"/>
              <w:right w:val="nil"/>
            </w:tcBorders>
            <w:vAlign w:val="bottom"/>
            <w:hideMark/>
          </w:tcPr>
          <w:p w14:paraId="2B54A181"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6,000 </w:t>
            </w:r>
          </w:p>
        </w:tc>
        <w:tc>
          <w:tcPr>
            <w:tcW w:w="1020" w:type="dxa"/>
            <w:tcBorders>
              <w:top w:val="nil"/>
              <w:left w:val="nil"/>
              <w:bottom w:val="single" w:sz="4" w:space="0" w:color="auto"/>
              <w:right w:val="nil"/>
            </w:tcBorders>
            <w:vAlign w:val="bottom"/>
            <w:hideMark/>
          </w:tcPr>
          <w:p w14:paraId="62D2CE0D"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nil"/>
              <w:left w:val="single" w:sz="4" w:space="0" w:color="auto"/>
              <w:bottom w:val="single" w:sz="4" w:space="0" w:color="auto"/>
              <w:right w:val="single" w:sz="4" w:space="0" w:color="auto"/>
            </w:tcBorders>
            <w:vAlign w:val="bottom"/>
            <w:hideMark/>
          </w:tcPr>
          <w:p w14:paraId="4C37BBBD" w14:textId="13A1E0AC"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Contract with Aira for services provided to staff </w:t>
            </w:r>
            <w:r w:rsidR="009E1A1B">
              <w:rPr>
                <w:rFonts w:ascii="Arial" w:eastAsia="Times New Roman" w:hAnsi="Arial" w:cs="Arial"/>
                <w:color w:val="000000"/>
                <w:kern w:val="0"/>
                <w:sz w:val="20"/>
                <w:szCs w:val="20"/>
                <w14:ligatures w14:val="none"/>
              </w:rPr>
              <w:t>as disability-related</w:t>
            </w:r>
            <w:r w:rsidRPr="000562A9">
              <w:rPr>
                <w:rFonts w:ascii="Arial" w:eastAsia="Times New Roman" w:hAnsi="Arial" w:cs="Arial"/>
                <w:color w:val="000000"/>
                <w:kern w:val="0"/>
                <w:sz w:val="20"/>
                <w:szCs w:val="20"/>
                <w14:ligatures w14:val="none"/>
              </w:rPr>
              <w:t xml:space="preserve"> accommodations</w:t>
            </w:r>
          </w:p>
        </w:tc>
      </w:tr>
      <w:tr w:rsidR="005330DF" w:rsidRPr="000562A9" w14:paraId="57A879F6" w14:textId="77777777" w:rsidTr="005330DF">
        <w:trPr>
          <w:trHeight w:val="255"/>
        </w:trPr>
        <w:tc>
          <w:tcPr>
            <w:tcW w:w="2420" w:type="dxa"/>
            <w:tcBorders>
              <w:top w:val="nil"/>
              <w:left w:val="nil"/>
              <w:bottom w:val="single" w:sz="4" w:space="0" w:color="000000"/>
              <w:right w:val="single" w:sz="4" w:space="0" w:color="000000"/>
            </w:tcBorders>
            <w:vAlign w:val="bottom"/>
            <w:hideMark/>
          </w:tcPr>
          <w:p w14:paraId="5B1D2C8A"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Multiple</w:t>
            </w:r>
          </w:p>
        </w:tc>
        <w:tc>
          <w:tcPr>
            <w:tcW w:w="1940" w:type="dxa"/>
            <w:tcBorders>
              <w:top w:val="nil"/>
              <w:left w:val="nil"/>
              <w:bottom w:val="single" w:sz="4" w:space="0" w:color="auto"/>
              <w:right w:val="nil"/>
            </w:tcBorders>
            <w:vAlign w:val="bottom"/>
            <w:hideMark/>
          </w:tcPr>
          <w:p w14:paraId="5C5704E1"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3,000 </w:t>
            </w:r>
          </w:p>
        </w:tc>
        <w:tc>
          <w:tcPr>
            <w:tcW w:w="1020" w:type="dxa"/>
            <w:tcBorders>
              <w:top w:val="nil"/>
              <w:left w:val="nil"/>
              <w:bottom w:val="single" w:sz="4" w:space="0" w:color="auto"/>
              <w:right w:val="nil"/>
            </w:tcBorders>
            <w:vAlign w:val="bottom"/>
            <w:hideMark/>
          </w:tcPr>
          <w:p w14:paraId="3C2F1D0F"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nil"/>
              <w:left w:val="single" w:sz="4" w:space="0" w:color="auto"/>
              <w:bottom w:val="single" w:sz="4" w:space="0" w:color="auto"/>
              <w:right w:val="single" w:sz="4" w:space="0" w:color="auto"/>
            </w:tcBorders>
            <w:vAlign w:val="bottom"/>
            <w:hideMark/>
          </w:tcPr>
          <w:p w14:paraId="767A94B9"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Driver mileage reimbursement increase</w:t>
            </w:r>
          </w:p>
        </w:tc>
      </w:tr>
      <w:tr w:rsidR="005330DF" w:rsidRPr="000562A9" w14:paraId="7FFB10DF" w14:textId="77777777" w:rsidTr="005330DF">
        <w:trPr>
          <w:trHeight w:val="255"/>
        </w:trPr>
        <w:tc>
          <w:tcPr>
            <w:tcW w:w="2420" w:type="dxa"/>
            <w:tcBorders>
              <w:top w:val="nil"/>
              <w:left w:val="nil"/>
              <w:bottom w:val="single" w:sz="4" w:space="0" w:color="000000"/>
              <w:right w:val="single" w:sz="4" w:space="0" w:color="000000"/>
            </w:tcBorders>
            <w:vAlign w:val="bottom"/>
            <w:hideMark/>
          </w:tcPr>
          <w:p w14:paraId="5B686237"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RE11</w:t>
            </w:r>
          </w:p>
        </w:tc>
        <w:tc>
          <w:tcPr>
            <w:tcW w:w="1940" w:type="dxa"/>
            <w:tcBorders>
              <w:top w:val="nil"/>
              <w:left w:val="nil"/>
              <w:bottom w:val="single" w:sz="4" w:space="0" w:color="auto"/>
              <w:right w:val="nil"/>
            </w:tcBorders>
            <w:vAlign w:val="bottom"/>
            <w:hideMark/>
          </w:tcPr>
          <w:p w14:paraId="075D8DA7"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5,000 </w:t>
            </w:r>
          </w:p>
        </w:tc>
        <w:tc>
          <w:tcPr>
            <w:tcW w:w="1020" w:type="dxa"/>
            <w:tcBorders>
              <w:top w:val="nil"/>
              <w:left w:val="nil"/>
              <w:bottom w:val="single" w:sz="4" w:space="0" w:color="auto"/>
              <w:right w:val="nil"/>
            </w:tcBorders>
            <w:vAlign w:val="bottom"/>
            <w:hideMark/>
          </w:tcPr>
          <w:p w14:paraId="0D398BB7"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nil"/>
              <w:left w:val="single" w:sz="4" w:space="0" w:color="auto"/>
              <w:bottom w:val="single" w:sz="4" w:space="0" w:color="auto"/>
              <w:right w:val="single" w:sz="4" w:space="0" w:color="auto"/>
            </w:tcBorders>
            <w:vAlign w:val="bottom"/>
            <w:hideMark/>
          </w:tcPr>
          <w:p w14:paraId="73B19DAE"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Replacement cycle of fire extinguishers at IDB building</w:t>
            </w:r>
          </w:p>
        </w:tc>
      </w:tr>
      <w:tr w:rsidR="005330DF" w:rsidRPr="000562A9" w14:paraId="26221FD5" w14:textId="77777777" w:rsidTr="005330DF">
        <w:trPr>
          <w:trHeight w:val="300"/>
        </w:trPr>
        <w:tc>
          <w:tcPr>
            <w:tcW w:w="2420" w:type="dxa"/>
            <w:tcBorders>
              <w:top w:val="nil"/>
              <w:left w:val="nil"/>
              <w:bottom w:val="single" w:sz="4" w:space="0" w:color="000000"/>
              <w:right w:val="single" w:sz="4" w:space="0" w:color="000000"/>
            </w:tcBorders>
            <w:vAlign w:val="bottom"/>
            <w:hideMark/>
          </w:tcPr>
          <w:p w14:paraId="24B54AE3"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CIRC</w:t>
            </w:r>
          </w:p>
        </w:tc>
        <w:tc>
          <w:tcPr>
            <w:tcW w:w="1940" w:type="dxa"/>
            <w:tcBorders>
              <w:top w:val="nil"/>
              <w:left w:val="nil"/>
              <w:bottom w:val="single" w:sz="4" w:space="0" w:color="auto"/>
              <w:right w:val="single" w:sz="4" w:space="0" w:color="000000"/>
            </w:tcBorders>
            <w:vAlign w:val="bottom"/>
            <w:hideMark/>
          </w:tcPr>
          <w:p w14:paraId="4BD65281"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3,000 </w:t>
            </w:r>
          </w:p>
        </w:tc>
        <w:tc>
          <w:tcPr>
            <w:tcW w:w="1020" w:type="dxa"/>
            <w:tcBorders>
              <w:top w:val="nil"/>
              <w:left w:val="nil"/>
              <w:bottom w:val="single" w:sz="4" w:space="0" w:color="auto"/>
              <w:right w:val="nil"/>
            </w:tcBorders>
            <w:vAlign w:val="bottom"/>
            <w:hideMark/>
          </w:tcPr>
          <w:p w14:paraId="225B3515"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No</w:t>
            </w:r>
          </w:p>
        </w:tc>
        <w:tc>
          <w:tcPr>
            <w:tcW w:w="15400" w:type="dxa"/>
            <w:tcBorders>
              <w:top w:val="nil"/>
              <w:left w:val="single" w:sz="4" w:space="0" w:color="auto"/>
              <w:bottom w:val="single" w:sz="4" w:space="0" w:color="auto"/>
              <w:right w:val="single" w:sz="4" w:space="0" w:color="auto"/>
            </w:tcBorders>
            <w:vAlign w:val="bottom"/>
            <w:hideMark/>
          </w:tcPr>
          <w:p w14:paraId="2010232C" w14:textId="77777777" w:rsidR="005330DF" w:rsidRPr="000562A9" w:rsidRDefault="005330DF" w:rsidP="000562A9">
            <w:pPr>
              <w:spacing w:after="0" w:line="240" w:lineRule="auto"/>
              <w:rPr>
                <w:rFonts w:ascii="Calibri" w:eastAsia="Times New Roman" w:hAnsi="Calibri" w:cs="Calibri"/>
                <w:color w:val="000000"/>
                <w:kern w:val="0"/>
                <w:sz w:val="22"/>
                <w:szCs w:val="22"/>
                <w14:ligatures w14:val="none"/>
              </w:rPr>
            </w:pPr>
            <w:r w:rsidRPr="000562A9">
              <w:rPr>
                <w:rFonts w:ascii="Calibri" w:eastAsia="Times New Roman" w:hAnsi="Calibri" w:cs="Calibri"/>
                <w:color w:val="000000"/>
                <w:kern w:val="0"/>
                <w:sz w:val="22"/>
                <w:szCs w:val="22"/>
                <w14:ligatures w14:val="none"/>
              </w:rPr>
              <w:t>Travel funding for Library</w:t>
            </w:r>
          </w:p>
        </w:tc>
      </w:tr>
      <w:tr w:rsidR="005330DF" w:rsidRPr="000562A9" w14:paraId="2052B2A8" w14:textId="77777777" w:rsidTr="005330DF">
        <w:trPr>
          <w:trHeight w:val="300"/>
        </w:trPr>
        <w:tc>
          <w:tcPr>
            <w:tcW w:w="2420" w:type="dxa"/>
            <w:tcBorders>
              <w:top w:val="nil"/>
              <w:left w:val="nil"/>
              <w:bottom w:val="single" w:sz="4" w:space="0" w:color="000000"/>
              <w:right w:val="single" w:sz="4" w:space="0" w:color="000000"/>
            </w:tcBorders>
            <w:vAlign w:val="bottom"/>
            <w:hideMark/>
          </w:tcPr>
          <w:p w14:paraId="6235BEA9"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w:t>
            </w:r>
          </w:p>
        </w:tc>
        <w:tc>
          <w:tcPr>
            <w:tcW w:w="1940" w:type="dxa"/>
            <w:tcBorders>
              <w:top w:val="nil"/>
              <w:left w:val="nil"/>
              <w:bottom w:val="single" w:sz="4" w:space="0" w:color="auto"/>
              <w:right w:val="single" w:sz="4" w:space="0" w:color="000000"/>
            </w:tcBorders>
            <w:vAlign w:val="bottom"/>
            <w:hideMark/>
          </w:tcPr>
          <w:p w14:paraId="311F93AE"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w:t>
            </w:r>
          </w:p>
        </w:tc>
        <w:tc>
          <w:tcPr>
            <w:tcW w:w="1020" w:type="dxa"/>
            <w:tcBorders>
              <w:top w:val="nil"/>
              <w:left w:val="nil"/>
              <w:bottom w:val="single" w:sz="4" w:space="0" w:color="auto"/>
              <w:right w:val="nil"/>
            </w:tcBorders>
            <w:vAlign w:val="bottom"/>
            <w:hideMark/>
          </w:tcPr>
          <w:p w14:paraId="0A7D94F2" w14:textId="77777777" w:rsidR="005330DF" w:rsidRPr="000562A9" w:rsidRDefault="005330DF" w:rsidP="000562A9">
            <w:pPr>
              <w:spacing w:after="0" w:line="240" w:lineRule="auto"/>
              <w:jc w:val="center"/>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w:t>
            </w:r>
          </w:p>
        </w:tc>
        <w:tc>
          <w:tcPr>
            <w:tcW w:w="15400" w:type="dxa"/>
            <w:tcBorders>
              <w:top w:val="nil"/>
              <w:left w:val="single" w:sz="4" w:space="0" w:color="auto"/>
              <w:bottom w:val="single" w:sz="4" w:space="0" w:color="auto"/>
              <w:right w:val="single" w:sz="4" w:space="0" w:color="auto"/>
            </w:tcBorders>
            <w:vAlign w:val="bottom"/>
            <w:hideMark/>
          </w:tcPr>
          <w:p w14:paraId="0EC7C163" w14:textId="77777777" w:rsidR="005330DF" w:rsidRPr="000562A9" w:rsidRDefault="005330DF" w:rsidP="000562A9">
            <w:pPr>
              <w:spacing w:after="0" w:line="240" w:lineRule="auto"/>
              <w:rPr>
                <w:rFonts w:ascii="Calibri" w:eastAsia="Times New Roman" w:hAnsi="Calibri" w:cs="Calibri"/>
                <w:color w:val="000000"/>
                <w:kern w:val="0"/>
                <w:sz w:val="22"/>
                <w:szCs w:val="22"/>
                <w14:ligatures w14:val="none"/>
              </w:rPr>
            </w:pPr>
            <w:r w:rsidRPr="000562A9">
              <w:rPr>
                <w:rFonts w:ascii="Calibri" w:eastAsia="Times New Roman" w:hAnsi="Calibri" w:cs="Calibri"/>
                <w:color w:val="000000"/>
                <w:kern w:val="0"/>
                <w:sz w:val="22"/>
                <w:szCs w:val="22"/>
                <w14:ligatures w14:val="none"/>
              </w:rPr>
              <w:t> </w:t>
            </w:r>
          </w:p>
        </w:tc>
      </w:tr>
      <w:tr w:rsidR="005330DF" w:rsidRPr="000562A9" w14:paraId="02DAE359" w14:textId="77777777" w:rsidTr="005330DF">
        <w:trPr>
          <w:trHeight w:val="255"/>
        </w:trPr>
        <w:tc>
          <w:tcPr>
            <w:tcW w:w="2420" w:type="dxa"/>
            <w:tcBorders>
              <w:top w:val="nil"/>
              <w:left w:val="nil"/>
              <w:bottom w:val="nil"/>
              <w:right w:val="nil"/>
            </w:tcBorders>
            <w:vAlign w:val="bottom"/>
            <w:hideMark/>
          </w:tcPr>
          <w:p w14:paraId="55BF14C6" w14:textId="77777777" w:rsidR="005330DF" w:rsidRPr="000562A9" w:rsidRDefault="005330DF" w:rsidP="000562A9">
            <w:pPr>
              <w:spacing w:after="0" w:line="240" w:lineRule="auto"/>
              <w:rPr>
                <w:rFonts w:ascii="Times New Roman" w:eastAsia="Times New Roman" w:hAnsi="Times New Roman" w:cs="Times New Roman"/>
                <w:kern w:val="0"/>
                <w:sz w:val="20"/>
                <w:szCs w:val="20"/>
                <w14:ligatures w14:val="none"/>
              </w:rPr>
            </w:pPr>
          </w:p>
        </w:tc>
        <w:tc>
          <w:tcPr>
            <w:tcW w:w="1940" w:type="dxa"/>
            <w:tcBorders>
              <w:top w:val="nil"/>
              <w:left w:val="nil"/>
              <w:bottom w:val="nil"/>
              <w:right w:val="nil"/>
            </w:tcBorders>
            <w:noWrap/>
            <w:vAlign w:val="bottom"/>
            <w:hideMark/>
          </w:tcPr>
          <w:p w14:paraId="1BCEC91A" w14:textId="77777777" w:rsidR="005330DF" w:rsidRPr="000562A9" w:rsidRDefault="005330DF" w:rsidP="000562A9">
            <w:pPr>
              <w:spacing w:after="0" w:line="240" w:lineRule="auto"/>
              <w:jc w:val="center"/>
              <w:rPr>
                <w:rFonts w:ascii="Times New Roman" w:eastAsia="Times New Roman" w:hAnsi="Times New Roman" w:cs="Times New Roman"/>
                <w:kern w:val="0"/>
                <w:sz w:val="20"/>
                <w:szCs w:val="20"/>
                <w14:ligatures w14:val="none"/>
              </w:rPr>
            </w:pPr>
          </w:p>
        </w:tc>
        <w:tc>
          <w:tcPr>
            <w:tcW w:w="1020" w:type="dxa"/>
            <w:tcBorders>
              <w:top w:val="nil"/>
              <w:left w:val="nil"/>
              <w:bottom w:val="nil"/>
              <w:right w:val="nil"/>
            </w:tcBorders>
            <w:vAlign w:val="bottom"/>
            <w:hideMark/>
          </w:tcPr>
          <w:p w14:paraId="1E8FCE25" w14:textId="77777777" w:rsidR="005330DF" w:rsidRPr="000562A9" w:rsidRDefault="005330DF" w:rsidP="000562A9">
            <w:pPr>
              <w:spacing w:after="0" w:line="240" w:lineRule="auto"/>
              <w:jc w:val="center"/>
              <w:rPr>
                <w:rFonts w:ascii="Times New Roman" w:eastAsia="Times New Roman" w:hAnsi="Times New Roman" w:cs="Times New Roman"/>
                <w:kern w:val="0"/>
                <w:sz w:val="20"/>
                <w:szCs w:val="20"/>
                <w14:ligatures w14:val="none"/>
              </w:rPr>
            </w:pPr>
          </w:p>
        </w:tc>
        <w:tc>
          <w:tcPr>
            <w:tcW w:w="15400" w:type="dxa"/>
            <w:tcBorders>
              <w:top w:val="nil"/>
              <w:left w:val="nil"/>
              <w:bottom w:val="nil"/>
              <w:right w:val="nil"/>
            </w:tcBorders>
            <w:vAlign w:val="bottom"/>
            <w:hideMark/>
          </w:tcPr>
          <w:p w14:paraId="0DE41A8A" w14:textId="77777777" w:rsidR="005330DF" w:rsidRPr="000562A9" w:rsidRDefault="005330DF" w:rsidP="000562A9">
            <w:pPr>
              <w:spacing w:after="0" w:line="240" w:lineRule="auto"/>
              <w:jc w:val="center"/>
              <w:rPr>
                <w:rFonts w:ascii="Times New Roman" w:eastAsia="Times New Roman" w:hAnsi="Times New Roman" w:cs="Times New Roman"/>
                <w:kern w:val="0"/>
                <w:sz w:val="20"/>
                <w:szCs w:val="20"/>
                <w14:ligatures w14:val="none"/>
              </w:rPr>
            </w:pPr>
          </w:p>
        </w:tc>
      </w:tr>
      <w:tr w:rsidR="005330DF" w:rsidRPr="000562A9" w14:paraId="0D80731B" w14:textId="77777777" w:rsidTr="005330DF">
        <w:trPr>
          <w:trHeight w:val="255"/>
        </w:trPr>
        <w:tc>
          <w:tcPr>
            <w:tcW w:w="2420" w:type="dxa"/>
            <w:tcBorders>
              <w:top w:val="nil"/>
              <w:left w:val="nil"/>
              <w:bottom w:val="nil"/>
              <w:right w:val="nil"/>
            </w:tcBorders>
            <w:vAlign w:val="bottom"/>
            <w:hideMark/>
          </w:tcPr>
          <w:p w14:paraId="0505BB67" w14:textId="77777777" w:rsidR="005330DF" w:rsidRPr="000562A9" w:rsidRDefault="005330DF" w:rsidP="000562A9">
            <w:pPr>
              <w:spacing w:after="0" w:line="240" w:lineRule="auto"/>
              <w:rPr>
                <w:rFonts w:ascii="Times New Roman" w:eastAsia="Times New Roman" w:hAnsi="Times New Roman" w:cs="Times New Roman"/>
                <w:kern w:val="0"/>
                <w:sz w:val="20"/>
                <w:szCs w:val="20"/>
                <w14:ligatures w14:val="none"/>
              </w:rPr>
            </w:pPr>
          </w:p>
        </w:tc>
        <w:tc>
          <w:tcPr>
            <w:tcW w:w="1940" w:type="dxa"/>
            <w:tcBorders>
              <w:top w:val="nil"/>
              <w:left w:val="nil"/>
              <w:bottom w:val="nil"/>
              <w:right w:val="nil"/>
            </w:tcBorders>
            <w:noWrap/>
            <w:vAlign w:val="bottom"/>
            <w:hideMark/>
          </w:tcPr>
          <w:p w14:paraId="5501F8D8" w14:textId="77777777" w:rsidR="005330DF" w:rsidRPr="000562A9" w:rsidRDefault="005330DF" w:rsidP="000562A9">
            <w:pPr>
              <w:spacing w:after="0" w:line="240" w:lineRule="auto"/>
              <w:rPr>
                <w:rFonts w:ascii="Arial" w:eastAsia="Times New Roman" w:hAnsi="Arial" w:cs="Arial"/>
                <w:color w:val="000000"/>
                <w:kern w:val="0"/>
                <w:sz w:val="20"/>
                <w:szCs w:val="20"/>
                <w14:ligatures w14:val="none"/>
              </w:rPr>
            </w:pPr>
            <w:r w:rsidRPr="000562A9">
              <w:rPr>
                <w:rFonts w:ascii="Arial" w:eastAsia="Times New Roman" w:hAnsi="Arial" w:cs="Arial"/>
                <w:color w:val="000000"/>
                <w:kern w:val="0"/>
                <w:sz w:val="20"/>
                <w:szCs w:val="20"/>
                <w14:ligatures w14:val="none"/>
              </w:rPr>
              <w:t xml:space="preserve"> $             1,437,239 </w:t>
            </w:r>
          </w:p>
        </w:tc>
        <w:tc>
          <w:tcPr>
            <w:tcW w:w="1020" w:type="dxa"/>
            <w:tcBorders>
              <w:top w:val="nil"/>
              <w:left w:val="nil"/>
              <w:bottom w:val="nil"/>
              <w:right w:val="nil"/>
            </w:tcBorders>
            <w:vAlign w:val="bottom"/>
            <w:hideMark/>
          </w:tcPr>
          <w:p w14:paraId="6CEECD55" w14:textId="77777777" w:rsidR="005330DF" w:rsidRPr="000562A9" w:rsidRDefault="005330DF" w:rsidP="000562A9">
            <w:pPr>
              <w:spacing w:after="0" w:line="240" w:lineRule="auto"/>
              <w:jc w:val="center"/>
              <w:rPr>
                <w:rFonts w:ascii="Times New Roman" w:eastAsia="Times New Roman" w:hAnsi="Times New Roman" w:cs="Times New Roman"/>
                <w:kern w:val="0"/>
                <w:sz w:val="20"/>
                <w:szCs w:val="20"/>
                <w14:ligatures w14:val="none"/>
              </w:rPr>
            </w:pPr>
          </w:p>
        </w:tc>
        <w:tc>
          <w:tcPr>
            <w:tcW w:w="15400" w:type="dxa"/>
            <w:tcBorders>
              <w:top w:val="nil"/>
              <w:left w:val="nil"/>
              <w:bottom w:val="nil"/>
              <w:right w:val="nil"/>
            </w:tcBorders>
            <w:vAlign w:val="bottom"/>
            <w:hideMark/>
          </w:tcPr>
          <w:p w14:paraId="2048375B" w14:textId="77777777" w:rsidR="005330DF" w:rsidRPr="000562A9" w:rsidRDefault="005330DF" w:rsidP="000562A9">
            <w:pPr>
              <w:spacing w:after="0" w:line="240" w:lineRule="auto"/>
              <w:jc w:val="center"/>
              <w:rPr>
                <w:rFonts w:ascii="Times New Roman" w:eastAsia="Times New Roman" w:hAnsi="Times New Roman" w:cs="Times New Roman"/>
                <w:kern w:val="0"/>
                <w:sz w:val="20"/>
                <w:szCs w:val="20"/>
                <w14:ligatures w14:val="none"/>
              </w:rPr>
            </w:pPr>
          </w:p>
        </w:tc>
      </w:tr>
    </w:tbl>
    <w:p w14:paraId="745C3C07" w14:textId="06A10A31" w:rsidR="006011B8" w:rsidRPr="00447BE2" w:rsidRDefault="006011B8" w:rsidP="000562A9"/>
    <w:sdt>
      <w:sdtPr>
        <w:rPr>
          <w:rFonts w:asciiTheme="minorHAnsi" w:eastAsiaTheme="minorHAnsi" w:hAnsiTheme="minorHAnsi" w:cstheme="minorBidi"/>
          <w:color w:val="auto"/>
          <w:kern w:val="2"/>
          <w:sz w:val="24"/>
          <w:szCs w:val="24"/>
          <w14:ligatures w14:val="standardContextual"/>
        </w:rPr>
        <w:id w:val="415988549"/>
        <w:docPartObj>
          <w:docPartGallery w:val="Table of Contents"/>
          <w:docPartUnique/>
        </w:docPartObj>
      </w:sdtPr>
      <w:sdtEndPr>
        <w:rPr>
          <w:b/>
          <w:bCs/>
          <w:noProof/>
        </w:rPr>
      </w:sdtEndPr>
      <w:sdtContent>
        <w:p w14:paraId="6CA5A7C0" w14:textId="5E23544D" w:rsidR="00245EE0" w:rsidRDefault="00245EE0">
          <w:pPr>
            <w:pStyle w:val="TOCHeading"/>
          </w:pPr>
          <w:r>
            <w:t>Contents</w:t>
          </w:r>
        </w:p>
        <w:p w14:paraId="2D8607F8" w14:textId="01689E8D" w:rsidR="00284BAE" w:rsidRDefault="00245EE0">
          <w:pPr>
            <w:pStyle w:val="TOC2"/>
            <w:tabs>
              <w:tab w:val="right" w:leader="dot" w:pos="12950"/>
            </w:tabs>
            <w:rPr>
              <w:rFonts w:eastAsiaTheme="minorEastAsia"/>
              <w:noProof/>
            </w:rPr>
          </w:pPr>
          <w:r>
            <w:fldChar w:fldCharType="begin"/>
          </w:r>
          <w:r>
            <w:instrText xml:space="preserve"> TOC \o "1-3" \h \z \u </w:instrText>
          </w:r>
          <w:r>
            <w:fldChar w:fldCharType="separate"/>
          </w:r>
          <w:hyperlink w:anchor="_Toc239957329" w:history="1">
            <w:r w:rsidR="00284BAE" w:rsidRPr="009C3101">
              <w:rPr>
                <w:rStyle w:val="Hyperlink"/>
                <w:noProof/>
              </w:rPr>
              <w:t>Seven New Instructors</w:t>
            </w:r>
            <w:r w:rsidR="00284BAE">
              <w:rPr>
                <w:noProof/>
                <w:webHidden/>
              </w:rPr>
              <w:tab/>
            </w:r>
            <w:r w:rsidR="00284BAE">
              <w:rPr>
                <w:noProof/>
                <w:webHidden/>
              </w:rPr>
              <w:fldChar w:fldCharType="begin"/>
            </w:r>
            <w:r w:rsidR="00284BAE">
              <w:rPr>
                <w:noProof/>
                <w:webHidden/>
              </w:rPr>
              <w:instrText xml:space="preserve"> PAGEREF _Toc239957329 \h </w:instrText>
            </w:r>
            <w:r w:rsidR="00284BAE">
              <w:rPr>
                <w:noProof/>
                <w:webHidden/>
              </w:rPr>
            </w:r>
            <w:r w:rsidR="00284BAE">
              <w:rPr>
                <w:noProof/>
                <w:webHidden/>
              </w:rPr>
              <w:fldChar w:fldCharType="separate"/>
            </w:r>
            <w:r w:rsidR="00284BAE">
              <w:rPr>
                <w:noProof/>
                <w:webHidden/>
              </w:rPr>
              <w:t>2</w:t>
            </w:r>
            <w:r w:rsidR="00284BAE">
              <w:rPr>
                <w:noProof/>
                <w:webHidden/>
              </w:rPr>
              <w:fldChar w:fldCharType="end"/>
            </w:r>
          </w:hyperlink>
        </w:p>
        <w:p w14:paraId="09EC84AC" w14:textId="36F5A837" w:rsidR="00284BAE" w:rsidRDefault="00284BAE">
          <w:pPr>
            <w:pStyle w:val="TOC2"/>
            <w:tabs>
              <w:tab w:val="right" w:leader="dot" w:pos="12950"/>
            </w:tabs>
            <w:rPr>
              <w:rFonts w:eastAsiaTheme="minorEastAsia"/>
              <w:noProof/>
            </w:rPr>
          </w:pPr>
          <w:hyperlink w:anchor="_Toc239957330" w:history="1">
            <w:r w:rsidRPr="009C3101">
              <w:rPr>
                <w:rStyle w:val="Hyperlink"/>
                <w:noProof/>
              </w:rPr>
              <w:t>Salary/Benefit Increases for Existing FTEs</w:t>
            </w:r>
            <w:r>
              <w:rPr>
                <w:noProof/>
                <w:webHidden/>
              </w:rPr>
              <w:tab/>
            </w:r>
            <w:r>
              <w:rPr>
                <w:noProof/>
                <w:webHidden/>
              </w:rPr>
              <w:fldChar w:fldCharType="begin"/>
            </w:r>
            <w:r>
              <w:rPr>
                <w:noProof/>
                <w:webHidden/>
              </w:rPr>
              <w:instrText xml:space="preserve"> PAGEREF _Toc239957330 \h </w:instrText>
            </w:r>
            <w:r>
              <w:rPr>
                <w:noProof/>
                <w:webHidden/>
              </w:rPr>
            </w:r>
            <w:r>
              <w:rPr>
                <w:noProof/>
                <w:webHidden/>
              </w:rPr>
              <w:fldChar w:fldCharType="separate"/>
            </w:r>
            <w:r>
              <w:rPr>
                <w:noProof/>
                <w:webHidden/>
              </w:rPr>
              <w:t>10</w:t>
            </w:r>
            <w:r>
              <w:rPr>
                <w:noProof/>
                <w:webHidden/>
              </w:rPr>
              <w:fldChar w:fldCharType="end"/>
            </w:r>
          </w:hyperlink>
        </w:p>
        <w:p w14:paraId="51AA6A37" w14:textId="70A28BFD" w:rsidR="00284BAE" w:rsidRDefault="00284BAE">
          <w:pPr>
            <w:pStyle w:val="TOC2"/>
            <w:tabs>
              <w:tab w:val="right" w:leader="dot" w:pos="12950"/>
            </w:tabs>
            <w:rPr>
              <w:rFonts w:eastAsiaTheme="minorEastAsia"/>
              <w:noProof/>
            </w:rPr>
          </w:pPr>
          <w:hyperlink w:anchor="_Toc239957331" w:history="1">
            <w:r w:rsidRPr="009C3101">
              <w:rPr>
                <w:rStyle w:val="Hyperlink"/>
                <w:noProof/>
              </w:rPr>
              <w:t>New Deputy Director Position</w:t>
            </w:r>
            <w:r>
              <w:rPr>
                <w:noProof/>
                <w:webHidden/>
              </w:rPr>
              <w:tab/>
            </w:r>
            <w:r>
              <w:rPr>
                <w:noProof/>
                <w:webHidden/>
              </w:rPr>
              <w:fldChar w:fldCharType="begin"/>
            </w:r>
            <w:r>
              <w:rPr>
                <w:noProof/>
                <w:webHidden/>
              </w:rPr>
              <w:instrText xml:space="preserve"> PAGEREF _Toc239957331 \h </w:instrText>
            </w:r>
            <w:r>
              <w:rPr>
                <w:noProof/>
                <w:webHidden/>
              </w:rPr>
            </w:r>
            <w:r>
              <w:rPr>
                <w:noProof/>
                <w:webHidden/>
              </w:rPr>
              <w:fldChar w:fldCharType="separate"/>
            </w:r>
            <w:r>
              <w:rPr>
                <w:noProof/>
                <w:webHidden/>
              </w:rPr>
              <w:t>11</w:t>
            </w:r>
            <w:r>
              <w:rPr>
                <w:noProof/>
                <w:webHidden/>
              </w:rPr>
              <w:fldChar w:fldCharType="end"/>
            </w:r>
          </w:hyperlink>
        </w:p>
        <w:p w14:paraId="11B98E82" w14:textId="30455263" w:rsidR="00284BAE" w:rsidRDefault="00284BAE">
          <w:pPr>
            <w:pStyle w:val="TOC2"/>
            <w:tabs>
              <w:tab w:val="right" w:leader="dot" w:pos="12950"/>
            </w:tabs>
            <w:rPr>
              <w:rFonts w:eastAsiaTheme="minorEastAsia"/>
              <w:noProof/>
            </w:rPr>
          </w:pPr>
          <w:hyperlink w:anchor="_Toc239957332" w:history="1">
            <w:r w:rsidRPr="009C3101">
              <w:rPr>
                <w:rStyle w:val="Hyperlink"/>
                <w:noProof/>
              </w:rPr>
              <w:t>Transportation Benefits: Parking and Bus Passes</w:t>
            </w:r>
            <w:r>
              <w:rPr>
                <w:noProof/>
                <w:webHidden/>
              </w:rPr>
              <w:tab/>
            </w:r>
            <w:r>
              <w:rPr>
                <w:noProof/>
                <w:webHidden/>
              </w:rPr>
              <w:fldChar w:fldCharType="begin"/>
            </w:r>
            <w:r>
              <w:rPr>
                <w:noProof/>
                <w:webHidden/>
              </w:rPr>
              <w:instrText xml:space="preserve"> PAGEREF _Toc239957332 \h </w:instrText>
            </w:r>
            <w:r>
              <w:rPr>
                <w:noProof/>
                <w:webHidden/>
              </w:rPr>
            </w:r>
            <w:r>
              <w:rPr>
                <w:noProof/>
                <w:webHidden/>
              </w:rPr>
              <w:fldChar w:fldCharType="separate"/>
            </w:r>
            <w:r>
              <w:rPr>
                <w:noProof/>
                <w:webHidden/>
              </w:rPr>
              <w:t>13</w:t>
            </w:r>
            <w:r>
              <w:rPr>
                <w:noProof/>
                <w:webHidden/>
              </w:rPr>
              <w:fldChar w:fldCharType="end"/>
            </w:r>
          </w:hyperlink>
        </w:p>
        <w:p w14:paraId="169CD27E" w14:textId="50B8D631" w:rsidR="00284BAE" w:rsidRDefault="00284BAE">
          <w:pPr>
            <w:pStyle w:val="TOC2"/>
            <w:tabs>
              <w:tab w:val="right" w:leader="dot" w:pos="12950"/>
            </w:tabs>
            <w:rPr>
              <w:rFonts w:eastAsiaTheme="minorEastAsia"/>
              <w:noProof/>
            </w:rPr>
          </w:pPr>
          <w:hyperlink w:anchor="_Toc239957333" w:history="1">
            <w:r w:rsidRPr="009C3101">
              <w:rPr>
                <w:rStyle w:val="Hyperlink"/>
                <w:noProof/>
              </w:rPr>
              <w:t>Field Operations Intern</w:t>
            </w:r>
            <w:r>
              <w:rPr>
                <w:noProof/>
                <w:webHidden/>
              </w:rPr>
              <w:tab/>
            </w:r>
            <w:r>
              <w:rPr>
                <w:noProof/>
                <w:webHidden/>
              </w:rPr>
              <w:fldChar w:fldCharType="begin"/>
            </w:r>
            <w:r>
              <w:rPr>
                <w:noProof/>
                <w:webHidden/>
              </w:rPr>
              <w:instrText xml:space="preserve"> PAGEREF _Toc239957333 \h </w:instrText>
            </w:r>
            <w:r>
              <w:rPr>
                <w:noProof/>
                <w:webHidden/>
              </w:rPr>
            </w:r>
            <w:r>
              <w:rPr>
                <w:noProof/>
                <w:webHidden/>
              </w:rPr>
              <w:fldChar w:fldCharType="separate"/>
            </w:r>
            <w:r>
              <w:rPr>
                <w:noProof/>
                <w:webHidden/>
              </w:rPr>
              <w:t>13</w:t>
            </w:r>
            <w:r>
              <w:rPr>
                <w:noProof/>
                <w:webHidden/>
              </w:rPr>
              <w:fldChar w:fldCharType="end"/>
            </w:r>
          </w:hyperlink>
        </w:p>
        <w:p w14:paraId="1943E745" w14:textId="70FF0256" w:rsidR="00284BAE" w:rsidRDefault="00284BAE">
          <w:pPr>
            <w:pStyle w:val="TOC2"/>
            <w:tabs>
              <w:tab w:val="right" w:leader="dot" w:pos="12950"/>
            </w:tabs>
            <w:rPr>
              <w:rFonts w:eastAsiaTheme="minorEastAsia"/>
              <w:noProof/>
            </w:rPr>
          </w:pPr>
          <w:hyperlink w:anchor="_Toc239957334" w:history="1">
            <w:r w:rsidRPr="009C3101">
              <w:rPr>
                <w:rStyle w:val="Hyperlink"/>
                <w:noProof/>
              </w:rPr>
              <w:t>Travel Funding for Additional Staff to Attend CSAVR and NCSAB</w:t>
            </w:r>
            <w:r>
              <w:rPr>
                <w:noProof/>
                <w:webHidden/>
              </w:rPr>
              <w:tab/>
            </w:r>
            <w:r>
              <w:rPr>
                <w:noProof/>
                <w:webHidden/>
              </w:rPr>
              <w:fldChar w:fldCharType="begin"/>
            </w:r>
            <w:r>
              <w:rPr>
                <w:noProof/>
                <w:webHidden/>
              </w:rPr>
              <w:instrText xml:space="preserve"> PAGEREF _Toc239957334 \h </w:instrText>
            </w:r>
            <w:r>
              <w:rPr>
                <w:noProof/>
                <w:webHidden/>
              </w:rPr>
            </w:r>
            <w:r>
              <w:rPr>
                <w:noProof/>
                <w:webHidden/>
              </w:rPr>
              <w:fldChar w:fldCharType="separate"/>
            </w:r>
            <w:r>
              <w:rPr>
                <w:noProof/>
                <w:webHidden/>
              </w:rPr>
              <w:t>14</w:t>
            </w:r>
            <w:r>
              <w:rPr>
                <w:noProof/>
                <w:webHidden/>
              </w:rPr>
              <w:fldChar w:fldCharType="end"/>
            </w:r>
          </w:hyperlink>
        </w:p>
        <w:p w14:paraId="5D0BFE15" w14:textId="42469A10" w:rsidR="00284BAE" w:rsidRDefault="00284BAE">
          <w:pPr>
            <w:pStyle w:val="TOC2"/>
            <w:tabs>
              <w:tab w:val="right" w:leader="dot" w:pos="12950"/>
            </w:tabs>
            <w:rPr>
              <w:rFonts w:eastAsiaTheme="minorEastAsia"/>
              <w:noProof/>
            </w:rPr>
          </w:pPr>
          <w:hyperlink w:anchor="_Toc239957335" w:history="1">
            <w:r w:rsidRPr="009C3101">
              <w:rPr>
                <w:rStyle w:val="Hyperlink"/>
                <w:noProof/>
              </w:rPr>
              <w:t>Inflationary Increases to Operational Costs</w:t>
            </w:r>
            <w:r>
              <w:rPr>
                <w:noProof/>
                <w:webHidden/>
              </w:rPr>
              <w:tab/>
            </w:r>
            <w:r>
              <w:rPr>
                <w:noProof/>
                <w:webHidden/>
              </w:rPr>
              <w:fldChar w:fldCharType="begin"/>
            </w:r>
            <w:r>
              <w:rPr>
                <w:noProof/>
                <w:webHidden/>
              </w:rPr>
              <w:instrText xml:space="preserve"> PAGEREF _Toc239957335 \h </w:instrText>
            </w:r>
            <w:r>
              <w:rPr>
                <w:noProof/>
                <w:webHidden/>
              </w:rPr>
            </w:r>
            <w:r>
              <w:rPr>
                <w:noProof/>
                <w:webHidden/>
              </w:rPr>
              <w:fldChar w:fldCharType="separate"/>
            </w:r>
            <w:r>
              <w:rPr>
                <w:noProof/>
                <w:webHidden/>
              </w:rPr>
              <w:t>15</w:t>
            </w:r>
            <w:r>
              <w:rPr>
                <w:noProof/>
                <w:webHidden/>
              </w:rPr>
              <w:fldChar w:fldCharType="end"/>
            </w:r>
          </w:hyperlink>
        </w:p>
        <w:p w14:paraId="301F586D" w14:textId="42055E06" w:rsidR="00284BAE" w:rsidRDefault="00284BAE">
          <w:pPr>
            <w:pStyle w:val="TOC2"/>
            <w:tabs>
              <w:tab w:val="right" w:leader="dot" w:pos="12950"/>
            </w:tabs>
            <w:rPr>
              <w:rFonts w:eastAsiaTheme="minorEastAsia"/>
              <w:noProof/>
            </w:rPr>
          </w:pPr>
          <w:hyperlink w:anchor="_Toc239957336" w:history="1">
            <w:r w:rsidRPr="009C3101">
              <w:rPr>
                <w:rStyle w:val="Hyperlink"/>
                <w:noProof/>
              </w:rPr>
              <w:t>Aira for IDB Staff</w:t>
            </w:r>
            <w:r>
              <w:rPr>
                <w:noProof/>
                <w:webHidden/>
              </w:rPr>
              <w:tab/>
            </w:r>
            <w:r>
              <w:rPr>
                <w:noProof/>
                <w:webHidden/>
              </w:rPr>
              <w:fldChar w:fldCharType="begin"/>
            </w:r>
            <w:r>
              <w:rPr>
                <w:noProof/>
                <w:webHidden/>
              </w:rPr>
              <w:instrText xml:space="preserve"> PAGEREF _Toc239957336 \h </w:instrText>
            </w:r>
            <w:r>
              <w:rPr>
                <w:noProof/>
                <w:webHidden/>
              </w:rPr>
            </w:r>
            <w:r>
              <w:rPr>
                <w:noProof/>
                <w:webHidden/>
              </w:rPr>
              <w:fldChar w:fldCharType="separate"/>
            </w:r>
            <w:r>
              <w:rPr>
                <w:noProof/>
                <w:webHidden/>
              </w:rPr>
              <w:t>15</w:t>
            </w:r>
            <w:r>
              <w:rPr>
                <w:noProof/>
                <w:webHidden/>
              </w:rPr>
              <w:fldChar w:fldCharType="end"/>
            </w:r>
          </w:hyperlink>
        </w:p>
        <w:p w14:paraId="3D901D8C" w14:textId="690395A8" w:rsidR="00284BAE" w:rsidRDefault="00284BAE">
          <w:pPr>
            <w:pStyle w:val="TOC2"/>
            <w:tabs>
              <w:tab w:val="right" w:leader="dot" w:pos="12950"/>
            </w:tabs>
            <w:rPr>
              <w:rFonts w:eastAsiaTheme="minorEastAsia"/>
              <w:noProof/>
            </w:rPr>
          </w:pPr>
          <w:hyperlink w:anchor="_Toc239957337" w:history="1">
            <w:r w:rsidRPr="009C3101">
              <w:rPr>
                <w:rStyle w:val="Hyperlink"/>
                <w:noProof/>
              </w:rPr>
              <w:t>Driver Mileage Reimersement Increase</w:t>
            </w:r>
            <w:r>
              <w:rPr>
                <w:noProof/>
                <w:webHidden/>
              </w:rPr>
              <w:tab/>
            </w:r>
            <w:r>
              <w:rPr>
                <w:noProof/>
                <w:webHidden/>
              </w:rPr>
              <w:fldChar w:fldCharType="begin"/>
            </w:r>
            <w:r>
              <w:rPr>
                <w:noProof/>
                <w:webHidden/>
              </w:rPr>
              <w:instrText xml:space="preserve"> PAGEREF _Toc239957337 \h </w:instrText>
            </w:r>
            <w:r>
              <w:rPr>
                <w:noProof/>
                <w:webHidden/>
              </w:rPr>
            </w:r>
            <w:r>
              <w:rPr>
                <w:noProof/>
                <w:webHidden/>
              </w:rPr>
              <w:fldChar w:fldCharType="separate"/>
            </w:r>
            <w:r>
              <w:rPr>
                <w:noProof/>
                <w:webHidden/>
              </w:rPr>
              <w:t>15</w:t>
            </w:r>
            <w:r>
              <w:rPr>
                <w:noProof/>
                <w:webHidden/>
              </w:rPr>
              <w:fldChar w:fldCharType="end"/>
            </w:r>
          </w:hyperlink>
        </w:p>
        <w:p w14:paraId="5CCA566E" w14:textId="6570711B" w:rsidR="00284BAE" w:rsidRDefault="00284BAE">
          <w:pPr>
            <w:pStyle w:val="TOC2"/>
            <w:tabs>
              <w:tab w:val="right" w:leader="dot" w:pos="12950"/>
            </w:tabs>
            <w:rPr>
              <w:rFonts w:eastAsiaTheme="minorEastAsia"/>
              <w:noProof/>
            </w:rPr>
          </w:pPr>
          <w:hyperlink w:anchor="_Toc239957338" w:history="1">
            <w:r w:rsidRPr="009C3101">
              <w:rPr>
                <w:rStyle w:val="Hyperlink"/>
                <w:noProof/>
              </w:rPr>
              <w:t>Replacement Cycle of Fire Extinguishers</w:t>
            </w:r>
            <w:r>
              <w:rPr>
                <w:noProof/>
                <w:webHidden/>
              </w:rPr>
              <w:tab/>
            </w:r>
            <w:r>
              <w:rPr>
                <w:noProof/>
                <w:webHidden/>
              </w:rPr>
              <w:fldChar w:fldCharType="begin"/>
            </w:r>
            <w:r>
              <w:rPr>
                <w:noProof/>
                <w:webHidden/>
              </w:rPr>
              <w:instrText xml:space="preserve"> PAGEREF _Toc239957338 \h </w:instrText>
            </w:r>
            <w:r>
              <w:rPr>
                <w:noProof/>
                <w:webHidden/>
              </w:rPr>
            </w:r>
            <w:r>
              <w:rPr>
                <w:noProof/>
                <w:webHidden/>
              </w:rPr>
              <w:fldChar w:fldCharType="separate"/>
            </w:r>
            <w:r>
              <w:rPr>
                <w:noProof/>
                <w:webHidden/>
              </w:rPr>
              <w:t>15</w:t>
            </w:r>
            <w:r>
              <w:rPr>
                <w:noProof/>
                <w:webHidden/>
              </w:rPr>
              <w:fldChar w:fldCharType="end"/>
            </w:r>
          </w:hyperlink>
        </w:p>
        <w:p w14:paraId="59629A3E" w14:textId="6DC27085" w:rsidR="00284BAE" w:rsidRDefault="00284BAE">
          <w:pPr>
            <w:pStyle w:val="TOC2"/>
            <w:tabs>
              <w:tab w:val="right" w:leader="dot" w:pos="12950"/>
            </w:tabs>
            <w:rPr>
              <w:rFonts w:eastAsiaTheme="minorEastAsia"/>
              <w:noProof/>
            </w:rPr>
          </w:pPr>
          <w:hyperlink w:anchor="_Toc239957339" w:history="1">
            <w:r w:rsidRPr="009C3101">
              <w:rPr>
                <w:rStyle w:val="Hyperlink"/>
                <w:noProof/>
              </w:rPr>
              <w:t>Travel Funding for Library</w:t>
            </w:r>
            <w:r>
              <w:rPr>
                <w:noProof/>
                <w:webHidden/>
              </w:rPr>
              <w:tab/>
            </w:r>
            <w:r>
              <w:rPr>
                <w:noProof/>
                <w:webHidden/>
              </w:rPr>
              <w:fldChar w:fldCharType="begin"/>
            </w:r>
            <w:r>
              <w:rPr>
                <w:noProof/>
                <w:webHidden/>
              </w:rPr>
              <w:instrText xml:space="preserve"> PAGEREF _Toc239957339 \h </w:instrText>
            </w:r>
            <w:r>
              <w:rPr>
                <w:noProof/>
                <w:webHidden/>
              </w:rPr>
            </w:r>
            <w:r>
              <w:rPr>
                <w:noProof/>
                <w:webHidden/>
              </w:rPr>
              <w:fldChar w:fldCharType="separate"/>
            </w:r>
            <w:r>
              <w:rPr>
                <w:noProof/>
                <w:webHidden/>
              </w:rPr>
              <w:t>16</w:t>
            </w:r>
            <w:r>
              <w:rPr>
                <w:noProof/>
                <w:webHidden/>
              </w:rPr>
              <w:fldChar w:fldCharType="end"/>
            </w:r>
          </w:hyperlink>
        </w:p>
        <w:p w14:paraId="2A216557" w14:textId="36C42606" w:rsidR="00245EE0" w:rsidRDefault="00245EE0">
          <w:r>
            <w:rPr>
              <w:b/>
              <w:bCs/>
              <w:noProof/>
            </w:rPr>
            <w:fldChar w:fldCharType="end"/>
          </w:r>
        </w:p>
      </w:sdtContent>
    </w:sdt>
    <w:p w14:paraId="7D775C53" w14:textId="77777777" w:rsidR="00DE5669" w:rsidRDefault="00DE5669" w:rsidP="007A0A98">
      <w:pPr>
        <w:pStyle w:val="Heading2"/>
      </w:pPr>
    </w:p>
    <w:p w14:paraId="44773269" w14:textId="063013E1" w:rsidR="004A0CDA" w:rsidRDefault="009A6B61" w:rsidP="007A0A98">
      <w:pPr>
        <w:pStyle w:val="Heading2"/>
      </w:pPr>
      <w:bookmarkStart w:id="0" w:name="_Toc239957329"/>
      <w:r w:rsidRPr="00447BE2">
        <w:t>Seven New Instructors</w:t>
      </w:r>
      <w:bookmarkEnd w:id="0"/>
    </w:p>
    <w:p w14:paraId="3A985A8D" w14:textId="633EB219" w:rsidR="0015482E" w:rsidRDefault="0015482E" w:rsidP="0087203A">
      <w:pPr>
        <w:pStyle w:val="NoSpacing"/>
        <w:rPr>
          <w:rFonts w:cs="Arial"/>
          <w:b/>
          <w:bCs/>
        </w:rPr>
      </w:pPr>
      <w:r>
        <w:rPr>
          <w:rFonts w:cs="Arial"/>
          <w:b/>
          <w:bCs/>
        </w:rPr>
        <w:t xml:space="preserve">3 instructors for </w:t>
      </w:r>
      <w:r w:rsidR="00B94ACA">
        <w:rPr>
          <w:rFonts w:cs="Arial"/>
          <w:b/>
          <w:bCs/>
        </w:rPr>
        <w:t xml:space="preserve">the </w:t>
      </w:r>
      <w:r>
        <w:rPr>
          <w:rFonts w:cs="Arial"/>
          <w:b/>
          <w:bCs/>
        </w:rPr>
        <w:t>Independent Living</w:t>
      </w:r>
      <w:r w:rsidR="00B94ACA">
        <w:rPr>
          <w:rFonts w:cs="Arial"/>
          <w:b/>
          <w:bCs/>
        </w:rPr>
        <w:t xml:space="preserve"> Division</w:t>
      </w:r>
    </w:p>
    <w:p w14:paraId="514A80B2" w14:textId="58A8B81C" w:rsidR="00B94ACA" w:rsidRDefault="00B94ACA" w:rsidP="0087203A">
      <w:pPr>
        <w:pStyle w:val="NoSpacing"/>
        <w:rPr>
          <w:rFonts w:cs="Arial"/>
          <w:b/>
          <w:bCs/>
        </w:rPr>
      </w:pPr>
      <w:r>
        <w:rPr>
          <w:rFonts w:cs="Arial"/>
          <w:b/>
          <w:bCs/>
        </w:rPr>
        <w:t>2 instructors for the Orientation Center for the Blind</w:t>
      </w:r>
    </w:p>
    <w:p w14:paraId="5D8DC622" w14:textId="12288EB0" w:rsidR="00B94ACA" w:rsidRDefault="00B94ACA" w:rsidP="0087203A">
      <w:pPr>
        <w:pStyle w:val="NoSpacing"/>
        <w:rPr>
          <w:rFonts w:cs="Arial"/>
          <w:b/>
          <w:bCs/>
        </w:rPr>
      </w:pPr>
      <w:r>
        <w:rPr>
          <w:rFonts w:cs="Arial"/>
          <w:b/>
          <w:bCs/>
        </w:rPr>
        <w:t>2 instructors for Education and Training Division</w:t>
      </w:r>
    </w:p>
    <w:p w14:paraId="682A6C0F" w14:textId="77777777" w:rsidR="00B94ACA" w:rsidRDefault="00B94ACA" w:rsidP="0087203A">
      <w:pPr>
        <w:pStyle w:val="NoSpacing"/>
        <w:rPr>
          <w:rFonts w:cs="Arial"/>
          <w:b/>
          <w:bCs/>
        </w:rPr>
      </w:pPr>
    </w:p>
    <w:p w14:paraId="27FACF7A" w14:textId="731D0010" w:rsidR="0087203A" w:rsidRPr="00447BE2" w:rsidRDefault="0087203A" w:rsidP="0087203A">
      <w:pPr>
        <w:pStyle w:val="NoSpacing"/>
        <w:rPr>
          <w:rFonts w:cs="Arial"/>
          <w:b/>
          <w:bCs/>
        </w:rPr>
      </w:pPr>
      <w:r w:rsidRPr="00447BE2">
        <w:rPr>
          <w:rFonts w:cs="Arial"/>
          <w:b/>
          <w:bCs/>
        </w:rPr>
        <w:t>Independent Living Program</w:t>
      </w:r>
    </w:p>
    <w:p w14:paraId="5BF64606" w14:textId="77777777" w:rsidR="0087203A" w:rsidRPr="00447BE2" w:rsidRDefault="0087203A" w:rsidP="0087203A">
      <w:pPr>
        <w:pStyle w:val="NoSpacing"/>
        <w:rPr>
          <w:rFonts w:cs="Arial"/>
          <w:b/>
          <w:bCs/>
        </w:rPr>
      </w:pPr>
      <w:r w:rsidRPr="00447BE2">
        <w:rPr>
          <w:rFonts w:cs="Arial"/>
          <w:b/>
          <w:bCs/>
        </w:rPr>
        <w:t>Proposal and Justification for new ILIV Staff</w:t>
      </w:r>
    </w:p>
    <w:p w14:paraId="11E931B1" w14:textId="77777777" w:rsidR="0087203A" w:rsidRPr="00447BE2" w:rsidRDefault="0087203A" w:rsidP="0087203A">
      <w:pPr>
        <w:pStyle w:val="NoSpacing"/>
        <w:rPr>
          <w:rFonts w:cs="Arial"/>
          <w:b/>
          <w:bCs/>
        </w:rPr>
      </w:pPr>
      <w:r w:rsidRPr="00447BE2">
        <w:rPr>
          <w:rFonts w:cs="Arial"/>
          <w:b/>
          <w:bCs/>
        </w:rPr>
        <w:t>September 9, 2026</w:t>
      </w:r>
    </w:p>
    <w:p w14:paraId="3A242127" w14:textId="77777777" w:rsidR="0087203A" w:rsidRPr="00447BE2" w:rsidRDefault="0087203A" w:rsidP="0087203A">
      <w:pPr>
        <w:pStyle w:val="NoSpacing"/>
        <w:rPr>
          <w:rFonts w:cs="Arial"/>
          <w:b/>
          <w:bCs/>
        </w:rPr>
      </w:pPr>
    </w:p>
    <w:p w14:paraId="1718A472" w14:textId="77777777" w:rsidR="0087203A" w:rsidRPr="00447BE2" w:rsidRDefault="0087203A" w:rsidP="0087203A">
      <w:pPr>
        <w:pStyle w:val="NoSpacing"/>
        <w:rPr>
          <w:rFonts w:cs="Arial"/>
          <w:b/>
          <w:bCs/>
          <w:u w:val="single"/>
        </w:rPr>
      </w:pPr>
      <w:r w:rsidRPr="00447BE2">
        <w:rPr>
          <w:rFonts w:cs="Arial"/>
          <w:b/>
          <w:bCs/>
          <w:u w:val="single"/>
        </w:rPr>
        <w:t>Caseload Management Considerations</w:t>
      </w:r>
    </w:p>
    <w:p w14:paraId="276963A3" w14:textId="77777777" w:rsidR="0087203A" w:rsidRPr="00447BE2" w:rsidRDefault="0087203A" w:rsidP="0087203A">
      <w:pPr>
        <w:pStyle w:val="NoSpacing"/>
        <w:rPr>
          <w:rFonts w:cs="Arial"/>
          <w:b/>
          <w:bCs/>
          <w:u w:val="single"/>
        </w:rPr>
      </w:pPr>
    </w:p>
    <w:p w14:paraId="11201CDD" w14:textId="77777777" w:rsidR="0087203A" w:rsidRPr="00447BE2" w:rsidRDefault="0087203A" w:rsidP="0087203A">
      <w:pPr>
        <w:pStyle w:val="NoSpacing"/>
        <w:rPr>
          <w:rFonts w:cs="Arial"/>
        </w:rPr>
      </w:pPr>
      <w:r w:rsidRPr="00447BE2">
        <w:rPr>
          <w:rFonts w:cs="Arial"/>
        </w:rPr>
        <w:t>The Iowa Department for the Blind Independent Living program would benefit from the addition of three statewide ILIV Case Manager–Rehabilitation Teacher positions. The additional positions would help address current caseload demands, improve timeliness of referral processing, and increase the frequency and intensity of disability-related skills training provided to clients.</w:t>
      </w:r>
    </w:p>
    <w:p w14:paraId="18000A0D" w14:textId="77777777" w:rsidR="0087203A" w:rsidRPr="00447BE2" w:rsidRDefault="0087203A" w:rsidP="0087203A">
      <w:pPr>
        <w:pStyle w:val="NoSpacing"/>
        <w:rPr>
          <w:rFonts w:cs="Arial"/>
        </w:rPr>
      </w:pPr>
    </w:p>
    <w:p w14:paraId="548E5E4D" w14:textId="77777777" w:rsidR="0087203A" w:rsidRPr="00447BE2" w:rsidRDefault="0087203A" w:rsidP="0087203A">
      <w:pPr>
        <w:pStyle w:val="NoSpacing"/>
        <w:rPr>
          <w:rFonts w:cs="Arial"/>
          <w:b/>
          <w:bCs/>
          <w:u w:val="single"/>
        </w:rPr>
      </w:pPr>
      <w:r w:rsidRPr="00447BE2">
        <w:rPr>
          <w:rFonts w:cs="Arial"/>
          <w:b/>
          <w:bCs/>
          <w:u w:val="single"/>
        </w:rPr>
        <w:t>Rationale for Additional Positions</w:t>
      </w:r>
    </w:p>
    <w:p w14:paraId="74C4980C" w14:textId="77777777" w:rsidR="0087203A" w:rsidRPr="00447BE2" w:rsidRDefault="0087203A" w:rsidP="0087203A">
      <w:pPr>
        <w:pStyle w:val="NoSpacing"/>
        <w:rPr>
          <w:rFonts w:cs="Arial"/>
          <w:b/>
          <w:bCs/>
        </w:rPr>
      </w:pPr>
    </w:p>
    <w:p w14:paraId="3509E9AA" w14:textId="77777777" w:rsidR="0087203A" w:rsidRPr="00447BE2" w:rsidRDefault="0087203A" w:rsidP="0087203A">
      <w:pPr>
        <w:pStyle w:val="NoSpacing"/>
        <w:rPr>
          <w:rFonts w:cs="Arial"/>
        </w:rPr>
      </w:pPr>
      <w:r w:rsidRPr="00447BE2">
        <w:rPr>
          <w:rFonts w:cs="Arial"/>
        </w:rPr>
        <w:lastRenderedPageBreak/>
        <w:t>The addition of three ILIV Case Manager–Rehabilitation Teachers would support the following goals:</w:t>
      </w:r>
    </w:p>
    <w:p w14:paraId="5855E869" w14:textId="77777777" w:rsidR="0087203A" w:rsidRPr="00447BE2" w:rsidRDefault="0087203A" w:rsidP="0087203A">
      <w:pPr>
        <w:pStyle w:val="NoSpacing"/>
        <w:rPr>
          <w:rFonts w:cs="Arial"/>
        </w:rPr>
      </w:pPr>
    </w:p>
    <w:p w14:paraId="72C1F32F" w14:textId="77777777" w:rsidR="0087203A" w:rsidRPr="00447BE2" w:rsidRDefault="0087203A" w:rsidP="0087203A">
      <w:pPr>
        <w:pStyle w:val="NoSpacing"/>
        <w:numPr>
          <w:ilvl w:val="0"/>
          <w:numId w:val="3"/>
        </w:numPr>
        <w:rPr>
          <w:rFonts w:cs="Arial"/>
        </w:rPr>
      </w:pPr>
      <w:r w:rsidRPr="00447BE2">
        <w:rPr>
          <w:rFonts w:cs="Arial"/>
        </w:rPr>
        <w:t>The number of Vocational Rehabilitation (VR) clients referred to ILIV staff cannot be controlled, as referrals are an integral part of the services provided by them. In accordance with VR policy, VR clients are required to be seen every two weeks.</w:t>
      </w:r>
    </w:p>
    <w:p w14:paraId="159B599F" w14:textId="77777777" w:rsidR="0087203A" w:rsidRPr="00447BE2" w:rsidRDefault="0087203A" w:rsidP="0087203A">
      <w:pPr>
        <w:pStyle w:val="NoSpacing"/>
        <w:numPr>
          <w:ilvl w:val="0"/>
          <w:numId w:val="3"/>
        </w:numPr>
        <w:rPr>
          <w:rFonts w:cs="Arial"/>
        </w:rPr>
      </w:pPr>
      <w:r w:rsidRPr="00447BE2">
        <w:rPr>
          <w:rFonts w:cs="Arial"/>
        </w:rPr>
        <w:t>Current number of VR clients being served by ILIV staff statewide is 88.</w:t>
      </w:r>
    </w:p>
    <w:p w14:paraId="03C9F2DF" w14:textId="77777777" w:rsidR="0087203A" w:rsidRPr="00447BE2" w:rsidRDefault="0087203A" w:rsidP="0087203A">
      <w:pPr>
        <w:pStyle w:val="NoSpacing"/>
        <w:numPr>
          <w:ilvl w:val="0"/>
          <w:numId w:val="3"/>
        </w:numPr>
        <w:rPr>
          <w:rFonts w:cs="Arial"/>
        </w:rPr>
      </w:pPr>
      <w:r w:rsidRPr="00447BE2">
        <w:rPr>
          <w:rFonts w:cs="Arial"/>
        </w:rPr>
        <w:t>Current number of IL-Older Individuals Who Are Blind (OIB) and IL-Younger Blind (ILYB) including new referrals is 349.</w:t>
      </w:r>
    </w:p>
    <w:p w14:paraId="7576FAC6" w14:textId="77777777" w:rsidR="0087203A" w:rsidRPr="00447BE2" w:rsidRDefault="0087203A" w:rsidP="0087203A">
      <w:pPr>
        <w:pStyle w:val="NoSpacing"/>
        <w:numPr>
          <w:ilvl w:val="0"/>
          <w:numId w:val="3"/>
        </w:numPr>
        <w:rPr>
          <w:rFonts w:cs="Arial"/>
        </w:rPr>
      </w:pPr>
      <w:r w:rsidRPr="00447BE2">
        <w:rPr>
          <w:rFonts w:cs="Arial"/>
        </w:rPr>
        <w:t>ILIV Staff serve ILIV Younger Blind clients statewide as case managers and where there is exception to policy providing direct training services.</w:t>
      </w:r>
    </w:p>
    <w:p w14:paraId="707F6CBF" w14:textId="77777777" w:rsidR="0087203A" w:rsidRPr="00447BE2" w:rsidRDefault="0087203A" w:rsidP="0087203A">
      <w:pPr>
        <w:pStyle w:val="NoSpacing"/>
        <w:numPr>
          <w:ilvl w:val="0"/>
          <w:numId w:val="3"/>
        </w:numPr>
        <w:rPr>
          <w:rFonts w:cs="Arial"/>
        </w:rPr>
      </w:pPr>
      <w:r w:rsidRPr="00447BE2">
        <w:rPr>
          <w:rFonts w:cs="Arial"/>
        </w:rPr>
        <w:t>Increase the frequency of disability-related skills training for Older Individuals Who Are Blind (OIB) clients. The goal would be to move from the current approximate frequency of every six weeks to every three weeks or less, when programmatically appropriate.</w:t>
      </w:r>
    </w:p>
    <w:p w14:paraId="637BCE1A" w14:textId="77777777" w:rsidR="0087203A" w:rsidRPr="00447BE2" w:rsidRDefault="0087203A" w:rsidP="0087203A">
      <w:pPr>
        <w:pStyle w:val="NoSpacing"/>
        <w:numPr>
          <w:ilvl w:val="1"/>
          <w:numId w:val="3"/>
        </w:numPr>
        <w:rPr>
          <w:rFonts w:cs="Arial"/>
        </w:rPr>
      </w:pPr>
      <w:r w:rsidRPr="00447BE2">
        <w:rPr>
          <w:rFonts w:cs="Arial"/>
        </w:rPr>
        <w:t xml:space="preserve">National caseload size demands average of 10 to 30 per instructor. OIB-TAC recommends when managing only OIB clients, best </w:t>
      </w:r>
      <w:proofErr w:type="gramStart"/>
      <w:r w:rsidRPr="00447BE2">
        <w:rPr>
          <w:rFonts w:cs="Arial"/>
        </w:rPr>
        <w:t>practices are</w:t>
      </w:r>
      <w:proofErr w:type="gramEnd"/>
      <w:r w:rsidRPr="00447BE2">
        <w:rPr>
          <w:rFonts w:cs="Arial"/>
        </w:rPr>
        <w:t xml:space="preserve"> to serve no more than 35 individuals to ensure the amount of individualized attention and frequency of services that can be provided to clients.</w:t>
      </w:r>
    </w:p>
    <w:p w14:paraId="1F9E98E2" w14:textId="77777777" w:rsidR="0087203A" w:rsidRPr="00447BE2" w:rsidRDefault="0087203A" w:rsidP="0087203A">
      <w:pPr>
        <w:pStyle w:val="NoSpacing"/>
        <w:numPr>
          <w:ilvl w:val="0"/>
          <w:numId w:val="3"/>
        </w:numPr>
        <w:rPr>
          <w:rFonts w:cs="Arial"/>
        </w:rPr>
      </w:pPr>
      <w:r w:rsidRPr="00447BE2">
        <w:rPr>
          <w:rFonts w:cs="Arial"/>
        </w:rPr>
        <w:t>Improve the timeliness of individual referral processing. ILIV Case Managers-Rehabilitation Teachers are currently required to contact referrals within five days of receipt and schedule the application appointment within 14 business days. Additional staffing would increase the program's capacity to increase consistency with meeting these timeframes.</w:t>
      </w:r>
    </w:p>
    <w:p w14:paraId="225BDCFC" w14:textId="77777777" w:rsidR="0087203A" w:rsidRPr="00447BE2" w:rsidRDefault="0087203A" w:rsidP="0087203A">
      <w:pPr>
        <w:pStyle w:val="NoSpacing"/>
        <w:numPr>
          <w:ilvl w:val="0"/>
          <w:numId w:val="3"/>
        </w:numPr>
        <w:rPr>
          <w:rFonts w:cs="Arial"/>
        </w:rPr>
      </w:pPr>
      <w:r w:rsidRPr="00447BE2">
        <w:rPr>
          <w:rFonts w:cs="Arial"/>
        </w:rPr>
        <w:t xml:space="preserve">Address other potential </w:t>
      </w:r>
      <w:proofErr w:type="gramStart"/>
      <w:r w:rsidRPr="00447BE2">
        <w:rPr>
          <w:rFonts w:cs="Arial"/>
        </w:rPr>
        <w:t>consideration</w:t>
      </w:r>
      <w:proofErr w:type="gramEnd"/>
      <w:r w:rsidRPr="00447BE2">
        <w:rPr>
          <w:rFonts w:cs="Arial"/>
        </w:rPr>
        <w:t>:</w:t>
      </w:r>
    </w:p>
    <w:p w14:paraId="393982F1" w14:textId="77777777" w:rsidR="0087203A" w:rsidRPr="00447BE2" w:rsidRDefault="0087203A" w:rsidP="0087203A">
      <w:pPr>
        <w:pStyle w:val="NoSpacing"/>
        <w:numPr>
          <w:ilvl w:val="1"/>
          <w:numId w:val="3"/>
        </w:numPr>
        <w:rPr>
          <w:rFonts w:cs="Arial"/>
        </w:rPr>
      </w:pPr>
      <w:r w:rsidRPr="00447BE2">
        <w:rPr>
          <w:rFonts w:cs="Arial"/>
        </w:rPr>
        <w:t xml:space="preserve">unrestricted referral volume. Referrals from individuals interested in applying for Independent Living services are currently not capped. Consequently, all referrals must be processed by ILIV Case Manager–Rehabilitation Teachers, creating an ongoing workload that fluctuates with referral volume. Outside sources have also promoted ILIV program services at the federal level, influencing a fluctuation in referrals. </w:t>
      </w:r>
    </w:p>
    <w:p w14:paraId="6E6137C2" w14:textId="77777777" w:rsidR="0087203A" w:rsidRPr="00447BE2" w:rsidRDefault="0087203A" w:rsidP="0087203A">
      <w:pPr>
        <w:pStyle w:val="NoSpacing"/>
        <w:numPr>
          <w:ilvl w:val="1"/>
          <w:numId w:val="3"/>
        </w:numPr>
        <w:rPr>
          <w:rFonts w:cs="Arial"/>
        </w:rPr>
      </w:pPr>
      <w:r w:rsidRPr="00447BE2">
        <w:rPr>
          <w:rFonts w:cs="Arial"/>
        </w:rPr>
        <w:t>Waitlist Policy Consideration: The development of a wait-list policy may also warrant further research and discussion. One potential approach would be to establish a maximum manageable caseload for each ILIV Case Manager–Rehabilitation Teacher. Once statewide staffing capacity is reached, individuals who cannot immediately be assigned could be placed on a wait list.</w:t>
      </w:r>
    </w:p>
    <w:p w14:paraId="22A4F002" w14:textId="77777777" w:rsidR="0087203A" w:rsidRPr="00447BE2" w:rsidRDefault="0087203A" w:rsidP="0087203A">
      <w:pPr>
        <w:pStyle w:val="NoSpacing"/>
        <w:numPr>
          <w:ilvl w:val="1"/>
          <w:numId w:val="3"/>
        </w:numPr>
        <w:rPr>
          <w:rFonts w:cs="Arial"/>
        </w:rPr>
      </w:pPr>
      <w:r w:rsidRPr="00447BE2">
        <w:rPr>
          <w:rFonts w:cs="Arial"/>
        </w:rPr>
        <w:t>Certification for Eligibility Policy Considerations</w:t>
      </w:r>
    </w:p>
    <w:p w14:paraId="2C98512C" w14:textId="77777777" w:rsidR="0087203A" w:rsidRPr="00447BE2" w:rsidRDefault="0087203A" w:rsidP="0087203A">
      <w:pPr>
        <w:pStyle w:val="NoSpacing"/>
        <w:numPr>
          <w:ilvl w:val="0"/>
          <w:numId w:val="4"/>
        </w:numPr>
        <w:rPr>
          <w:rFonts w:cs="Arial"/>
        </w:rPr>
      </w:pPr>
      <w:r w:rsidRPr="00447BE2">
        <w:rPr>
          <w:rFonts w:cs="Arial"/>
        </w:rPr>
        <w:t>Best corrected visual acuity: Consider increasing the threshold in the better eye, with correction/refraction, from 20/50 to 20/70, without exceptions.</w:t>
      </w:r>
    </w:p>
    <w:p w14:paraId="6A6ED3A8" w14:textId="77777777" w:rsidR="0087203A" w:rsidRPr="00447BE2" w:rsidRDefault="0087203A" w:rsidP="0087203A">
      <w:pPr>
        <w:pStyle w:val="NoSpacing"/>
        <w:numPr>
          <w:ilvl w:val="0"/>
          <w:numId w:val="4"/>
        </w:numPr>
        <w:rPr>
          <w:rFonts w:cs="Arial"/>
        </w:rPr>
      </w:pPr>
      <w:r w:rsidRPr="00447BE2">
        <w:rPr>
          <w:rFonts w:cs="Arial"/>
        </w:rPr>
        <w:t>Visual field: Consider changing the visual-field requirement in the better corrected eye, with correction/refraction, from 40 degrees (low vision) to 20 degrees (severe vision loss), without exceptions</w:t>
      </w:r>
    </w:p>
    <w:p w14:paraId="38BAC998" w14:textId="77777777" w:rsidR="0087203A" w:rsidRPr="00447BE2" w:rsidRDefault="0087203A" w:rsidP="0087203A">
      <w:pPr>
        <w:pStyle w:val="NoSpacing"/>
        <w:ind w:left="1440"/>
        <w:rPr>
          <w:rFonts w:cs="Arial"/>
        </w:rPr>
      </w:pPr>
    </w:p>
    <w:p w14:paraId="70D4A5D5" w14:textId="77777777" w:rsidR="0087203A" w:rsidRPr="00447BE2" w:rsidRDefault="0087203A" w:rsidP="0087203A">
      <w:pPr>
        <w:pStyle w:val="NoSpacing"/>
        <w:rPr>
          <w:rFonts w:cs="Arial"/>
          <w:b/>
          <w:bCs/>
          <w:u w:val="single"/>
        </w:rPr>
      </w:pPr>
      <w:r w:rsidRPr="00447BE2">
        <w:rPr>
          <w:rFonts w:cs="Arial"/>
          <w:b/>
          <w:bCs/>
          <w:u w:val="single"/>
        </w:rPr>
        <w:t>Supporting research and information:</w:t>
      </w:r>
    </w:p>
    <w:p w14:paraId="28EABF83" w14:textId="77777777" w:rsidR="0087203A" w:rsidRPr="00447BE2" w:rsidRDefault="0087203A" w:rsidP="0087203A">
      <w:pPr>
        <w:pStyle w:val="NoSpacing"/>
        <w:rPr>
          <w:rFonts w:cs="Arial"/>
        </w:rPr>
      </w:pPr>
    </w:p>
    <w:p w14:paraId="50C1C40E" w14:textId="77777777" w:rsidR="0087203A" w:rsidRPr="00447BE2" w:rsidRDefault="0087203A" w:rsidP="0087203A">
      <w:pPr>
        <w:pStyle w:val="NoSpacing"/>
        <w:rPr>
          <w:rFonts w:cs="Arial"/>
        </w:rPr>
      </w:pPr>
      <w:r w:rsidRPr="00447BE2">
        <w:rPr>
          <w:rFonts w:cs="Arial"/>
        </w:rPr>
        <w:t>A 2023, Sage Journal conducted a national study of 834 vision professionals—including Teachers of Students with Visual Impairments (TVIs), Orientation and Mobility Specialists (COMS), and dually certified professionals—reported relatively minimal differences in mean caseloads across U.S. regions, but meaningful variation based on professional role and service-delivery model. Typical caseloads generally fell within a range of approximately 10–30 clients, although smaller or rural programs may serve fewer clients, while high-demand urban areas or service models may result in caseloads exceeding 50.</w:t>
      </w:r>
    </w:p>
    <w:p w14:paraId="348B2128" w14:textId="77777777" w:rsidR="0087203A" w:rsidRPr="00447BE2" w:rsidRDefault="0087203A" w:rsidP="0087203A">
      <w:pPr>
        <w:pStyle w:val="NoSpacing"/>
        <w:rPr>
          <w:rFonts w:cs="Arial"/>
        </w:rPr>
      </w:pPr>
    </w:p>
    <w:p w14:paraId="5883CDBA" w14:textId="77777777" w:rsidR="0087203A" w:rsidRPr="00447BE2" w:rsidRDefault="0087203A" w:rsidP="0087203A">
      <w:pPr>
        <w:pStyle w:val="NoSpacing"/>
        <w:rPr>
          <w:rFonts w:cs="Arial"/>
        </w:rPr>
      </w:pPr>
      <w:r w:rsidRPr="00447BE2">
        <w:rPr>
          <w:rFonts w:cs="Arial"/>
        </w:rPr>
        <w:t>For Iowa's Independent Living Instruction for Individuals Who Are Blind (ILIV) program, Kendra Farrow, Director of the Iowa Department for the Blind's Older Individuals Who are Blind Technical Assistance Center (OIB-TAC), and Liz Biber-DeShields, OIB-TAC Specialist, have recommended approximately 35 OIB clients per instructor as a best-practice target, when feasible. This recommendation is intended as workload-management guidance rather than a regulatory requirement.</w:t>
      </w:r>
    </w:p>
    <w:p w14:paraId="53783C60" w14:textId="77777777" w:rsidR="0087203A" w:rsidRPr="00447BE2" w:rsidRDefault="0087203A" w:rsidP="0087203A">
      <w:pPr>
        <w:pStyle w:val="NoSpacing"/>
        <w:rPr>
          <w:rFonts w:cs="Arial"/>
        </w:rPr>
      </w:pPr>
    </w:p>
    <w:p w14:paraId="46B1069E" w14:textId="77777777" w:rsidR="0087203A" w:rsidRPr="00447BE2" w:rsidRDefault="0087203A" w:rsidP="0087203A">
      <w:pPr>
        <w:pStyle w:val="NoSpacing"/>
        <w:rPr>
          <w:rFonts w:cs="Arial"/>
        </w:rPr>
      </w:pPr>
      <w:r w:rsidRPr="00447BE2">
        <w:rPr>
          <w:rFonts w:cs="Arial"/>
        </w:rPr>
        <w:t>While at the Department for the Blind we do not use this approach, an alternative approach used by some states, including Minnesota and Connecticut, is a service-level points system rather than a fixed caseload number. Under this model, a full-time professional workload may be capped at approximately 90 points, with a half-time workload at approximately 45 points. Each client is assigned points based on the complexity and intensity of services required:</w:t>
      </w:r>
    </w:p>
    <w:p w14:paraId="1057A9C7" w14:textId="77777777" w:rsidR="0087203A" w:rsidRPr="00447BE2" w:rsidRDefault="0087203A" w:rsidP="0087203A">
      <w:pPr>
        <w:pStyle w:val="NoSpacing"/>
        <w:rPr>
          <w:rFonts w:cs="Arial"/>
        </w:rPr>
      </w:pPr>
    </w:p>
    <w:p w14:paraId="0E18EA9F" w14:textId="77777777" w:rsidR="0087203A" w:rsidRPr="00447BE2" w:rsidRDefault="0087203A" w:rsidP="0087203A">
      <w:pPr>
        <w:pStyle w:val="NoSpacing"/>
        <w:numPr>
          <w:ilvl w:val="0"/>
          <w:numId w:val="1"/>
        </w:numPr>
        <w:rPr>
          <w:rFonts w:cs="Arial"/>
        </w:rPr>
      </w:pPr>
      <w:r w:rsidRPr="00447BE2">
        <w:rPr>
          <w:rFonts w:cs="Arial"/>
        </w:rPr>
        <w:t>Medical needs: 0–4 points</w:t>
      </w:r>
    </w:p>
    <w:p w14:paraId="6CED997F" w14:textId="77777777" w:rsidR="0087203A" w:rsidRPr="00447BE2" w:rsidRDefault="0087203A" w:rsidP="0087203A">
      <w:pPr>
        <w:pStyle w:val="NoSpacing"/>
        <w:numPr>
          <w:ilvl w:val="0"/>
          <w:numId w:val="1"/>
        </w:numPr>
        <w:rPr>
          <w:rFonts w:cs="Arial"/>
        </w:rPr>
      </w:pPr>
      <w:r w:rsidRPr="00447BE2">
        <w:rPr>
          <w:rFonts w:cs="Arial"/>
        </w:rPr>
        <w:t>Primary reading medium: 0–4 points</w:t>
      </w:r>
    </w:p>
    <w:p w14:paraId="72267EC4" w14:textId="77777777" w:rsidR="0087203A" w:rsidRPr="00447BE2" w:rsidRDefault="0087203A" w:rsidP="0087203A">
      <w:pPr>
        <w:pStyle w:val="NoSpacing"/>
        <w:numPr>
          <w:ilvl w:val="0"/>
          <w:numId w:val="1"/>
        </w:numPr>
        <w:rPr>
          <w:rFonts w:cs="Arial"/>
        </w:rPr>
      </w:pPr>
      <w:r w:rsidRPr="00447BE2">
        <w:rPr>
          <w:rFonts w:cs="Arial"/>
        </w:rPr>
        <w:t>Compensatory skill needs: 0–4 points</w:t>
      </w:r>
    </w:p>
    <w:p w14:paraId="49DA191E" w14:textId="77777777" w:rsidR="0087203A" w:rsidRPr="00447BE2" w:rsidRDefault="0087203A" w:rsidP="0087203A">
      <w:pPr>
        <w:pStyle w:val="NoSpacing"/>
        <w:numPr>
          <w:ilvl w:val="0"/>
          <w:numId w:val="1"/>
        </w:numPr>
        <w:rPr>
          <w:rFonts w:cs="Arial"/>
        </w:rPr>
      </w:pPr>
      <w:r w:rsidRPr="00447BE2">
        <w:rPr>
          <w:rFonts w:cs="Arial"/>
        </w:rPr>
        <w:t>Environmental/instructional adjustments: 0–4 points</w:t>
      </w:r>
    </w:p>
    <w:p w14:paraId="4F026DBD" w14:textId="77777777" w:rsidR="0087203A" w:rsidRPr="00447BE2" w:rsidRDefault="0087203A" w:rsidP="0087203A">
      <w:pPr>
        <w:pStyle w:val="NoSpacing"/>
        <w:numPr>
          <w:ilvl w:val="0"/>
          <w:numId w:val="1"/>
        </w:numPr>
        <w:rPr>
          <w:rFonts w:cs="Arial"/>
        </w:rPr>
      </w:pPr>
      <w:r w:rsidRPr="00447BE2">
        <w:rPr>
          <w:rFonts w:cs="Arial"/>
        </w:rPr>
        <w:t>Orientation &amp; Mobility needs: 0–4 points</w:t>
      </w:r>
    </w:p>
    <w:p w14:paraId="2B38BD55" w14:textId="77777777" w:rsidR="0087203A" w:rsidRPr="00447BE2" w:rsidRDefault="0087203A" w:rsidP="0087203A">
      <w:pPr>
        <w:pStyle w:val="NoSpacing"/>
        <w:numPr>
          <w:ilvl w:val="0"/>
          <w:numId w:val="1"/>
        </w:numPr>
        <w:rPr>
          <w:rFonts w:cs="Arial"/>
        </w:rPr>
      </w:pPr>
      <w:r w:rsidRPr="00447BE2">
        <w:rPr>
          <w:rFonts w:cs="Arial"/>
        </w:rPr>
        <w:t>Travel time: 0–4 points</w:t>
      </w:r>
    </w:p>
    <w:p w14:paraId="3AC43F45" w14:textId="77777777" w:rsidR="0087203A" w:rsidRPr="00447BE2" w:rsidRDefault="0087203A" w:rsidP="0087203A">
      <w:pPr>
        <w:pStyle w:val="NoSpacing"/>
        <w:ind w:left="360"/>
        <w:rPr>
          <w:rFonts w:cs="Arial"/>
        </w:rPr>
      </w:pPr>
    </w:p>
    <w:p w14:paraId="15BC084B" w14:textId="77777777" w:rsidR="0087203A" w:rsidRPr="00447BE2" w:rsidRDefault="0087203A" w:rsidP="0087203A">
      <w:pPr>
        <w:pStyle w:val="NoSpacing"/>
        <w:rPr>
          <w:rFonts w:cs="Arial"/>
        </w:rPr>
      </w:pPr>
      <w:r w:rsidRPr="00447BE2">
        <w:rPr>
          <w:rFonts w:cs="Arial"/>
        </w:rPr>
        <w:t>Under a point-based model, caseload size varies inversely with service intensity. A professional serving clients with greater needs would carry fewer clients because those clients consume more workload capacity. Conversely, a professional whose clients generally require less intensive intervention could appropriately serve a larger number of clients without necessarily having an excessive workload.</w:t>
      </w:r>
    </w:p>
    <w:p w14:paraId="6996F0FF" w14:textId="77777777" w:rsidR="0087203A" w:rsidRPr="00447BE2" w:rsidRDefault="0087203A" w:rsidP="0087203A">
      <w:pPr>
        <w:pStyle w:val="NoSpacing"/>
        <w:rPr>
          <w:rFonts w:cs="Arial"/>
        </w:rPr>
      </w:pPr>
    </w:p>
    <w:p w14:paraId="5EA858FA" w14:textId="77777777" w:rsidR="0087203A" w:rsidRPr="00447BE2" w:rsidRDefault="0087203A" w:rsidP="0087203A">
      <w:pPr>
        <w:pStyle w:val="NoSpacing"/>
        <w:rPr>
          <w:rFonts w:cs="Arial"/>
        </w:rPr>
      </w:pPr>
      <w:r w:rsidRPr="00447BE2">
        <w:rPr>
          <w:rFonts w:cs="Arial"/>
        </w:rPr>
        <w:t xml:space="preserve">The key distinction is that </w:t>
      </w:r>
      <w:proofErr w:type="gramStart"/>
      <w:r w:rsidRPr="00447BE2">
        <w:rPr>
          <w:rFonts w:cs="Arial"/>
        </w:rPr>
        <w:t>client</w:t>
      </w:r>
      <w:proofErr w:type="gramEnd"/>
      <w:r w:rsidRPr="00447BE2">
        <w:rPr>
          <w:rFonts w:cs="Arial"/>
        </w:rPr>
        <w:t xml:space="preserve"> count alone </w:t>
      </w:r>
      <w:proofErr w:type="gramStart"/>
      <w:r w:rsidRPr="00447BE2">
        <w:rPr>
          <w:rFonts w:cs="Arial"/>
        </w:rPr>
        <w:t>do</w:t>
      </w:r>
      <w:proofErr w:type="gramEnd"/>
      <w:r w:rsidRPr="00447BE2">
        <w:rPr>
          <w:rFonts w:cs="Arial"/>
        </w:rPr>
        <w:t> not measure workload. A caseload of 20 highly complex clients may require substantially more staff time than a caseload of 35 clients with relatively low service intensity. Consequently, a sustainable case-load-management system should consider both the number of clients served and the amount and complexity of service each client requires, including travel demands.</w:t>
      </w:r>
    </w:p>
    <w:p w14:paraId="7B6A4FB3" w14:textId="77777777" w:rsidR="0087203A" w:rsidRPr="00447BE2" w:rsidRDefault="0087203A" w:rsidP="0087203A">
      <w:pPr>
        <w:pStyle w:val="NoSpacing"/>
        <w:spacing w:line="276" w:lineRule="auto"/>
        <w:rPr>
          <w:rFonts w:cs="Arial"/>
        </w:rPr>
      </w:pPr>
    </w:p>
    <w:p w14:paraId="388080E9" w14:textId="77777777" w:rsidR="0087203A" w:rsidRPr="00447BE2" w:rsidRDefault="0087203A" w:rsidP="0087203A">
      <w:pPr>
        <w:pStyle w:val="NoSpacing"/>
        <w:spacing w:line="276" w:lineRule="auto"/>
        <w:rPr>
          <w:rFonts w:cs="Arial"/>
          <w:b/>
          <w:bCs/>
          <w:u w:val="single"/>
        </w:rPr>
      </w:pPr>
      <w:r w:rsidRPr="00447BE2">
        <w:rPr>
          <w:rFonts w:cs="Arial"/>
          <w:b/>
          <w:bCs/>
          <w:u w:val="single"/>
        </w:rPr>
        <w:t>UNDERSTANDING THE ROLE OF THE ILIV CASE MANAGER-REHAB TEACHER</w:t>
      </w:r>
    </w:p>
    <w:p w14:paraId="34DE404A" w14:textId="77777777" w:rsidR="0087203A" w:rsidRPr="00447BE2" w:rsidRDefault="0087203A" w:rsidP="0087203A">
      <w:pPr>
        <w:pStyle w:val="NoSpacing"/>
        <w:rPr>
          <w:rFonts w:cs="Arial"/>
          <w:b/>
          <w:bCs/>
          <w:u w:val="single"/>
        </w:rPr>
      </w:pPr>
    </w:p>
    <w:p w14:paraId="4D5521F6" w14:textId="77777777" w:rsidR="0087203A" w:rsidRPr="00447BE2" w:rsidRDefault="0087203A" w:rsidP="0087203A">
      <w:pPr>
        <w:pStyle w:val="NoSpacing"/>
        <w:rPr>
          <w:rFonts w:cs="Arial"/>
        </w:rPr>
      </w:pPr>
      <w:r w:rsidRPr="00447BE2">
        <w:rPr>
          <w:rFonts w:cs="Arial"/>
        </w:rPr>
        <w:t xml:space="preserve">The ILIV Case Manager–Rehabilitation Teacher plays an essential role in providing case management and rehabilitation teaching services to individuals who are blind, deafblind, or have low vision. </w:t>
      </w:r>
    </w:p>
    <w:p w14:paraId="5604B45B" w14:textId="77777777" w:rsidR="0087203A" w:rsidRPr="00447BE2" w:rsidRDefault="0087203A" w:rsidP="0087203A">
      <w:pPr>
        <w:pStyle w:val="NoSpacing"/>
        <w:rPr>
          <w:rFonts w:cs="Arial"/>
        </w:rPr>
      </w:pPr>
    </w:p>
    <w:p w14:paraId="0D87E6AC" w14:textId="77777777" w:rsidR="0087203A" w:rsidRPr="00447BE2" w:rsidRDefault="0087203A" w:rsidP="0087203A">
      <w:pPr>
        <w:pStyle w:val="NoSpacing"/>
        <w:rPr>
          <w:rFonts w:cs="Arial"/>
        </w:rPr>
      </w:pPr>
      <w:r w:rsidRPr="00447BE2">
        <w:rPr>
          <w:rFonts w:cs="Arial"/>
        </w:rPr>
        <w:t>The position supports individuals who are referred through an established referral system and assists those who refer individuals in achieving greater independence through individualized rehabilitation services, established service plans, and skills training if they are found eligible for services.</w:t>
      </w:r>
    </w:p>
    <w:p w14:paraId="31A8FF45" w14:textId="77777777" w:rsidR="0087203A" w:rsidRPr="00447BE2" w:rsidRDefault="0087203A" w:rsidP="0087203A">
      <w:pPr>
        <w:pStyle w:val="NoSpacing"/>
        <w:rPr>
          <w:rFonts w:cs="Arial"/>
        </w:rPr>
      </w:pPr>
    </w:p>
    <w:p w14:paraId="3B55C90B" w14:textId="77777777" w:rsidR="0087203A" w:rsidRPr="00447BE2" w:rsidRDefault="0087203A" w:rsidP="0087203A">
      <w:pPr>
        <w:pStyle w:val="NoSpacing"/>
        <w:rPr>
          <w:rFonts w:cs="Arial"/>
          <w:b/>
          <w:bCs/>
        </w:rPr>
      </w:pPr>
      <w:r w:rsidRPr="00447BE2">
        <w:rPr>
          <w:rFonts w:cs="Arial"/>
          <w:b/>
          <w:bCs/>
        </w:rPr>
        <w:t>Case Management and Rehabilitation Teacher Roles:</w:t>
      </w:r>
    </w:p>
    <w:p w14:paraId="650E6FB4" w14:textId="77777777" w:rsidR="0087203A" w:rsidRPr="00447BE2" w:rsidRDefault="0087203A" w:rsidP="0087203A">
      <w:pPr>
        <w:pStyle w:val="NoSpacing"/>
        <w:rPr>
          <w:rFonts w:cs="Arial"/>
        </w:rPr>
      </w:pPr>
    </w:p>
    <w:p w14:paraId="75E03BE2" w14:textId="77777777" w:rsidR="0087203A" w:rsidRPr="00447BE2" w:rsidRDefault="0087203A" w:rsidP="0087203A">
      <w:pPr>
        <w:pStyle w:val="NoSpacing"/>
        <w:rPr>
          <w:rFonts w:cs="Arial"/>
        </w:rPr>
      </w:pPr>
      <w:r w:rsidRPr="00447BE2">
        <w:rPr>
          <w:rFonts w:cs="Arial"/>
        </w:rPr>
        <w:t>A primary responsibility of the ILIV Case Manager is to determine an individual’s eligibility for Independent Living program services, unless the individual is receiving vocational rehabilitation services or is a pre-employment transition client. The vocational rehabilitation and pre-employment transition employment individuals have already been determined eligible by their Vocational Rehabilitation Counselor. For these clients, the ILIV Case Manager–Rehabilitation Teacher is only responsible for providing rehabilitation teaching services, authorizing or coordinating needed services and products, attending meetings as requested, and documenting service outcomes through appropriate case notes.</w:t>
      </w:r>
    </w:p>
    <w:p w14:paraId="366631BB" w14:textId="77777777" w:rsidR="0087203A" w:rsidRPr="00447BE2" w:rsidRDefault="0087203A" w:rsidP="0087203A">
      <w:pPr>
        <w:pStyle w:val="NoSpacing"/>
        <w:rPr>
          <w:rFonts w:cs="Arial"/>
        </w:rPr>
      </w:pPr>
    </w:p>
    <w:p w14:paraId="098EAAAE" w14:textId="77777777" w:rsidR="0087203A" w:rsidRPr="00447BE2" w:rsidRDefault="0087203A" w:rsidP="0087203A">
      <w:pPr>
        <w:pStyle w:val="NoSpacing"/>
        <w:rPr>
          <w:rFonts w:cs="Arial"/>
        </w:rPr>
      </w:pPr>
      <w:r w:rsidRPr="00447BE2">
        <w:rPr>
          <w:rFonts w:cs="Arial"/>
        </w:rPr>
        <w:t>As part of the ILIV case management-rehabilitation teacher role, for Independent Living, the role is dual. As the ILIV case manager, in this role the requirement is to complete the referral process which includes the application, obtain eye reports, and establish eligibility for either the OIB or ILYB program. Once eligibility has been established, the case manager works collaboratively with the individual to assess current skills, identify areas of need, and customized an individualized training plan based on the person’s goals, abilities, preferences, and rehabilitation needs.</w:t>
      </w:r>
    </w:p>
    <w:p w14:paraId="41367D39" w14:textId="77777777" w:rsidR="0087203A" w:rsidRPr="00447BE2" w:rsidRDefault="0087203A" w:rsidP="0087203A">
      <w:pPr>
        <w:pStyle w:val="NoSpacing"/>
        <w:rPr>
          <w:rFonts w:cs="Arial"/>
        </w:rPr>
      </w:pPr>
    </w:p>
    <w:p w14:paraId="626ECD65" w14:textId="77777777" w:rsidR="0087203A" w:rsidRPr="00447BE2" w:rsidRDefault="0087203A" w:rsidP="0087203A">
      <w:pPr>
        <w:pStyle w:val="NoSpacing"/>
        <w:rPr>
          <w:rFonts w:cs="Arial"/>
        </w:rPr>
      </w:pPr>
      <w:r w:rsidRPr="00447BE2">
        <w:rPr>
          <w:rFonts w:cs="Arial"/>
        </w:rPr>
        <w:lastRenderedPageBreak/>
        <w:t>Following development of the service plan, the case manager provides or coordinates appropriate disability-related rehabilitation teaching and skills training. These services are designed to help individuals develop the skills necessary to function as independently as possible in their homes, communities, workplaces, and other environments. The ILIV Case Manager schedules and delivers these training services directly.</w:t>
      </w:r>
    </w:p>
    <w:p w14:paraId="4FCA85CA" w14:textId="77777777" w:rsidR="0087203A" w:rsidRPr="00447BE2" w:rsidRDefault="0087203A" w:rsidP="0087203A">
      <w:pPr>
        <w:pStyle w:val="NoSpacing"/>
        <w:rPr>
          <w:rFonts w:cs="Arial"/>
        </w:rPr>
      </w:pPr>
    </w:p>
    <w:p w14:paraId="277B7804" w14:textId="77777777" w:rsidR="0087203A" w:rsidRPr="00447BE2" w:rsidRDefault="0087203A" w:rsidP="0087203A">
      <w:pPr>
        <w:pStyle w:val="NoSpacing"/>
        <w:rPr>
          <w:rFonts w:cs="Arial"/>
        </w:rPr>
      </w:pPr>
      <w:r w:rsidRPr="00447BE2">
        <w:rPr>
          <w:rFonts w:cs="Arial"/>
        </w:rPr>
        <w:t>Case management responsibilities continue throughout the duration of the individual’s service plan. The case manager provides ongoing coordination and monitoring of services, adjustment to blindness counseling, including obtaining necessary authorizations, making referrals, providing information and resources, and responding to changes in the individual’s needs. When necessary, the case manager completes service plan amendments and conducts required reviews to ensure that services remain appropriate, effective, and aligned with the individual’s goals.</w:t>
      </w:r>
    </w:p>
    <w:p w14:paraId="46B7FEEE" w14:textId="77777777" w:rsidR="0087203A" w:rsidRPr="00447BE2" w:rsidRDefault="0087203A" w:rsidP="0087203A">
      <w:pPr>
        <w:pStyle w:val="NoSpacing"/>
        <w:rPr>
          <w:rFonts w:cs="Arial"/>
        </w:rPr>
      </w:pPr>
    </w:p>
    <w:p w14:paraId="1BBBC342" w14:textId="77777777" w:rsidR="0087203A" w:rsidRPr="00447BE2" w:rsidRDefault="0087203A" w:rsidP="0087203A">
      <w:pPr>
        <w:pStyle w:val="NoSpacing"/>
        <w:rPr>
          <w:rFonts w:cs="Arial"/>
          <w:b/>
          <w:bCs/>
          <w:u w:val="single"/>
        </w:rPr>
      </w:pPr>
      <w:r w:rsidRPr="00447BE2">
        <w:rPr>
          <w:rFonts w:cs="Arial"/>
          <w:b/>
          <w:bCs/>
          <w:u w:val="single"/>
        </w:rPr>
        <w:t>Rehabilitation Teaching Services Plans:</w:t>
      </w:r>
    </w:p>
    <w:p w14:paraId="0D3E89CE" w14:textId="77777777" w:rsidR="0087203A" w:rsidRPr="00447BE2" w:rsidRDefault="0087203A" w:rsidP="0087203A">
      <w:pPr>
        <w:pStyle w:val="NoSpacing"/>
        <w:rPr>
          <w:rFonts w:cs="Arial"/>
        </w:rPr>
      </w:pPr>
    </w:p>
    <w:p w14:paraId="33395A9C" w14:textId="77777777" w:rsidR="0087203A" w:rsidRPr="00447BE2" w:rsidRDefault="0087203A" w:rsidP="0087203A">
      <w:pPr>
        <w:pStyle w:val="NoSpacing"/>
        <w:rPr>
          <w:rFonts w:cs="Arial"/>
        </w:rPr>
      </w:pPr>
      <w:r w:rsidRPr="00447BE2">
        <w:rPr>
          <w:rFonts w:cs="Arial"/>
        </w:rPr>
        <w:t>Rehabilitation teaching services service plans are designed to address disability-related needs and develop functional skills that enable individuals who are blind, deafblind, or have low vision to manage daily activities more independently and participate more fully in their homes, communities, and other environments. Plans may include training objectives to include but are not limited to:</w:t>
      </w:r>
    </w:p>
    <w:p w14:paraId="3A55E40B" w14:textId="77777777" w:rsidR="0087203A" w:rsidRPr="00447BE2" w:rsidRDefault="0087203A" w:rsidP="0087203A">
      <w:pPr>
        <w:pStyle w:val="NoSpacing"/>
        <w:rPr>
          <w:rFonts w:cs="Arial"/>
        </w:rPr>
      </w:pPr>
    </w:p>
    <w:p w14:paraId="0C1A5DE1" w14:textId="77777777" w:rsidR="0087203A" w:rsidRPr="00447BE2" w:rsidRDefault="0087203A" w:rsidP="0087203A">
      <w:pPr>
        <w:pStyle w:val="NoSpacing"/>
        <w:numPr>
          <w:ilvl w:val="0"/>
          <w:numId w:val="2"/>
        </w:numPr>
        <w:rPr>
          <w:rFonts w:cs="Arial"/>
        </w:rPr>
      </w:pPr>
      <w:r w:rsidRPr="00447BE2">
        <w:rPr>
          <w:rFonts w:cs="Arial"/>
        </w:rPr>
        <w:t>Activities of daily living and personal care</w:t>
      </w:r>
    </w:p>
    <w:p w14:paraId="6A903915" w14:textId="77777777" w:rsidR="0087203A" w:rsidRPr="00447BE2" w:rsidRDefault="0087203A" w:rsidP="0087203A">
      <w:pPr>
        <w:pStyle w:val="NoSpacing"/>
        <w:numPr>
          <w:ilvl w:val="0"/>
          <w:numId w:val="2"/>
        </w:numPr>
        <w:rPr>
          <w:rFonts w:cs="Arial"/>
        </w:rPr>
      </w:pPr>
      <w:r w:rsidRPr="00447BE2">
        <w:rPr>
          <w:rFonts w:cs="Arial"/>
        </w:rPr>
        <w:t>Home management and safety</w:t>
      </w:r>
    </w:p>
    <w:p w14:paraId="39EACB3F" w14:textId="77777777" w:rsidR="0087203A" w:rsidRPr="00447BE2" w:rsidRDefault="0087203A" w:rsidP="0087203A">
      <w:pPr>
        <w:pStyle w:val="NoSpacing"/>
        <w:numPr>
          <w:ilvl w:val="0"/>
          <w:numId w:val="2"/>
        </w:numPr>
        <w:rPr>
          <w:rFonts w:cs="Arial"/>
        </w:rPr>
      </w:pPr>
      <w:r w:rsidRPr="00447BE2">
        <w:rPr>
          <w:rFonts w:cs="Arial"/>
        </w:rPr>
        <w:t>Orientation and mobility-related skills, as appropriate</w:t>
      </w:r>
    </w:p>
    <w:p w14:paraId="7F8409F2" w14:textId="77777777" w:rsidR="0087203A" w:rsidRPr="00447BE2" w:rsidRDefault="0087203A" w:rsidP="0087203A">
      <w:pPr>
        <w:pStyle w:val="NoSpacing"/>
        <w:numPr>
          <w:ilvl w:val="0"/>
          <w:numId w:val="2"/>
        </w:numPr>
        <w:rPr>
          <w:rFonts w:cs="Arial"/>
        </w:rPr>
      </w:pPr>
      <w:r w:rsidRPr="00447BE2">
        <w:rPr>
          <w:rFonts w:cs="Arial"/>
        </w:rPr>
        <w:t>Adaptive techniques and use of assistive devices</w:t>
      </w:r>
    </w:p>
    <w:p w14:paraId="077E95DC" w14:textId="77777777" w:rsidR="0087203A" w:rsidRPr="00447BE2" w:rsidRDefault="0087203A" w:rsidP="0087203A">
      <w:pPr>
        <w:pStyle w:val="NoSpacing"/>
        <w:numPr>
          <w:ilvl w:val="0"/>
          <w:numId w:val="2"/>
        </w:numPr>
        <w:rPr>
          <w:rFonts w:cs="Arial"/>
        </w:rPr>
      </w:pPr>
      <w:r w:rsidRPr="00447BE2">
        <w:rPr>
          <w:rFonts w:cs="Arial"/>
        </w:rPr>
        <w:t>Communication and information access</w:t>
      </w:r>
    </w:p>
    <w:p w14:paraId="1E47BFAA" w14:textId="77777777" w:rsidR="0087203A" w:rsidRPr="00447BE2" w:rsidRDefault="0087203A" w:rsidP="0087203A">
      <w:pPr>
        <w:pStyle w:val="NoSpacing"/>
        <w:numPr>
          <w:ilvl w:val="0"/>
          <w:numId w:val="2"/>
        </w:numPr>
        <w:rPr>
          <w:rFonts w:cs="Arial"/>
        </w:rPr>
      </w:pPr>
      <w:r w:rsidRPr="00447BE2">
        <w:rPr>
          <w:rFonts w:cs="Arial"/>
        </w:rPr>
        <w:t>Medication management systems and other health-related routines</w:t>
      </w:r>
    </w:p>
    <w:p w14:paraId="41908CB6" w14:textId="77777777" w:rsidR="0087203A" w:rsidRPr="00447BE2" w:rsidRDefault="0087203A" w:rsidP="0087203A">
      <w:pPr>
        <w:pStyle w:val="NoSpacing"/>
        <w:numPr>
          <w:ilvl w:val="0"/>
          <w:numId w:val="2"/>
        </w:numPr>
        <w:rPr>
          <w:rFonts w:cs="Arial"/>
        </w:rPr>
      </w:pPr>
      <w:r w:rsidRPr="00447BE2">
        <w:rPr>
          <w:rFonts w:cs="Arial"/>
        </w:rPr>
        <w:t>Meal preparation and household tasks</w:t>
      </w:r>
    </w:p>
    <w:p w14:paraId="6173058C" w14:textId="77777777" w:rsidR="0087203A" w:rsidRPr="00447BE2" w:rsidRDefault="0087203A" w:rsidP="0087203A">
      <w:pPr>
        <w:pStyle w:val="NoSpacing"/>
        <w:numPr>
          <w:ilvl w:val="0"/>
          <w:numId w:val="2"/>
        </w:numPr>
        <w:rPr>
          <w:rFonts w:cs="Arial"/>
        </w:rPr>
      </w:pPr>
      <w:r w:rsidRPr="00447BE2">
        <w:rPr>
          <w:rFonts w:cs="Arial"/>
        </w:rPr>
        <w:t>Organization and problem-solving skills</w:t>
      </w:r>
    </w:p>
    <w:p w14:paraId="14A8A720" w14:textId="77777777" w:rsidR="0087203A" w:rsidRPr="00447BE2" w:rsidRDefault="0087203A" w:rsidP="0087203A">
      <w:pPr>
        <w:pStyle w:val="NoSpacing"/>
        <w:numPr>
          <w:ilvl w:val="0"/>
          <w:numId w:val="2"/>
        </w:numPr>
        <w:rPr>
          <w:rFonts w:cs="Arial"/>
        </w:rPr>
      </w:pPr>
      <w:r w:rsidRPr="00447BE2">
        <w:rPr>
          <w:rFonts w:cs="Arial"/>
        </w:rPr>
        <w:t>Community participation and independent living skills</w:t>
      </w:r>
    </w:p>
    <w:p w14:paraId="2520333E" w14:textId="77777777" w:rsidR="0087203A" w:rsidRPr="00447BE2" w:rsidRDefault="0087203A" w:rsidP="0087203A">
      <w:pPr>
        <w:pStyle w:val="NoSpacing"/>
        <w:numPr>
          <w:ilvl w:val="0"/>
          <w:numId w:val="2"/>
        </w:numPr>
        <w:rPr>
          <w:rFonts w:cs="Arial"/>
        </w:rPr>
      </w:pPr>
      <w:r w:rsidRPr="00447BE2">
        <w:rPr>
          <w:rFonts w:cs="Arial"/>
        </w:rPr>
        <w:t>Other disability-related skills identified through the individual’s assessment and service plan</w:t>
      </w:r>
    </w:p>
    <w:p w14:paraId="5F5AA956" w14:textId="77777777" w:rsidR="0087203A" w:rsidRPr="00447BE2" w:rsidRDefault="0087203A" w:rsidP="0087203A">
      <w:pPr>
        <w:pStyle w:val="NoSpacing"/>
        <w:rPr>
          <w:rFonts w:cs="Arial"/>
        </w:rPr>
      </w:pPr>
    </w:p>
    <w:p w14:paraId="341F43F3" w14:textId="77777777" w:rsidR="0087203A" w:rsidRPr="00447BE2" w:rsidRDefault="0087203A" w:rsidP="0087203A">
      <w:pPr>
        <w:pStyle w:val="NoSpacing"/>
        <w:rPr>
          <w:rFonts w:cs="Arial"/>
        </w:rPr>
      </w:pPr>
      <w:r w:rsidRPr="00447BE2">
        <w:rPr>
          <w:rFonts w:cs="Arial"/>
        </w:rPr>
        <w:lastRenderedPageBreak/>
        <w:t xml:space="preserve">The ILIV Case Manager–Rehabilitation Teacher uses a person-centered approach to ensure that rehabilitation teaching services are responsive to </w:t>
      </w:r>
      <w:proofErr w:type="gramStart"/>
      <w:r w:rsidRPr="00447BE2">
        <w:rPr>
          <w:rFonts w:cs="Arial"/>
        </w:rPr>
        <w:t>each individual’s</w:t>
      </w:r>
      <w:proofErr w:type="gramEnd"/>
      <w:r w:rsidRPr="00447BE2">
        <w:rPr>
          <w:rFonts w:cs="Arial"/>
        </w:rPr>
        <w:t xml:space="preserve"> abilities, needs, preferences, and goals. The overall objective is to promote independence, confidence, safety, and meaningful participation in daily life.</w:t>
      </w:r>
    </w:p>
    <w:p w14:paraId="502E3D12" w14:textId="77777777" w:rsidR="009A6B61" w:rsidRDefault="009A6B61">
      <w:pPr>
        <w:rPr>
          <w:b/>
          <w:bCs/>
        </w:rPr>
      </w:pPr>
    </w:p>
    <w:p w14:paraId="796D99E7" w14:textId="274BA287" w:rsidR="006A37F1" w:rsidRDefault="008A28B2">
      <w:pPr>
        <w:rPr>
          <w:b/>
          <w:bCs/>
        </w:rPr>
      </w:pPr>
      <w:r>
        <w:rPr>
          <w:b/>
          <w:bCs/>
        </w:rPr>
        <w:t>Education and Training</w:t>
      </w:r>
      <w:r w:rsidR="00C95F48">
        <w:rPr>
          <w:b/>
          <w:bCs/>
        </w:rPr>
        <w:t xml:space="preserve"> Division</w:t>
      </w:r>
    </w:p>
    <w:p w14:paraId="199B3890" w14:textId="77777777" w:rsidR="00FE4CDB" w:rsidRDefault="00FE4CDB" w:rsidP="00FE4CDB">
      <w:r>
        <w:t>Data/Info</w:t>
      </w:r>
    </w:p>
    <w:p w14:paraId="72D5B870" w14:textId="77777777" w:rsidR="00FE4CDB" w:rsidRDefault="00FE4CDB" w:rsidP="00FE4CDB">
      <w:pPr>
        <w:pStyle w:val="ListParagraph"/>
        <w:numPr>
          <w:ilvl w:val="0"/>
          <w:numId w:val="6"/>
        </w:numPr>
        <w:spacing w:line="279" w:lineRule="auto"/>
      </w:pPr>
      <w:r>
        <w:t>The education and training team serves 115 youth ages 14-21</w:t>
      </w:r>
    </w:p>
    <w:p w14:paraId="0C118F83" w14:textId="77777777" w:rsidR="00FE4CDB" w:rsidRDefault="00FE4CDB" w:rsidP="00FE4CDB">
      <w:pPr>
        <w:pStyle w:val="ListParagraph"/>
        <w:numPr>
          <w:ilvl w:val="0"/>
          <w:numId w:val="6"/>
        </w:numPr>
        <w:spacing w:line="279" w:lineRule="auto"/>
      </w:pPr>
      <w:r>
        <w:t xml:space="preserve">The team hosts Weekend Youth Retreats (Requires 24/7 staffing), Summer Camp for 8 weeks (requires 24/7 staffing), and Adult Skills Retreats that run for 1 week that require staffing during the day. </w:t>
      </w:r>
    </w:p>
    <w:p w14:paraId="18BB3A95" w14:textId="77777777" w:rsidR="00FE4CDB" w:rsidRDefault="00FE4CDB" w:rsidP="00FE4CDB">
      <w:pPr>
        <w:pStyle w:val="ListParagraph"/>
        <w:numPr>
          <w:ilvl w:val="0"/>
          <w:numId w:val="6"/>
        </w:numPr>
        <w:spacing w:line="279" w:lineRule="auto"/>
      </w:pPr>
      <w:r>
        <w:t>The team currently has 4 instructors when fully staffed</w:t>
      </w:r>
    </w:p>
    <w:p w14:paraId="61C31D20" w14:textId="77777777" w:rsidR="00FE4CDB" w:rsidRDefault="00FE4CDB" w:rsidP="00FE4CDB">
      <w:pPr>
        <w:pStyle w:val="ListParagraph"/>
        <w:numPr>
          <w:ilvl w:val="0"/>
          <w:numId w:val="6"/>
        </w:numPr>
        <w:spacing w:line="279" w:lineRule="auto"/>
      </w:pPr>
      <w:r>
        <w:t xml:space="preserve">Ratio of </w:t>
      </w:r>
      <w:proofErr w:type="gramStart"/>
      <w:r>
        <w:t>instructor</w:t>
      </w:r>
      <w:proofErr w:type="gramEnd"/>
      <w:r>
        <w:t xml:space="preserve"> to </w:t>
      </w:r>
      <w:proofErr w:type="gramStart"/>
      <w:r>
        <w:t>student</w:t>
      </w:r>
      <w:proofErr w:type="gramEnd"/>
      <w:r>
        <w:t xml:space="preserve"> should be 1 instructor to 3 or 4 students for safety and personalized lesson plans.</w:t>
      </w:r>
    </w:p>
    <w:p w14:paraId="15413AE8" w14:textId="77777777" w:rsidR="00FE4CDB" w:rsidRDefault="00FE4CDB" w:rsidP="00FE4CDB">
      <w:pPr>
        <w:pStyle w:val="ListParagraph"/>
        <w:numPr>
          <w:ilvl w:val="0"/>
          <w:numId w:val="6"/>
        </w:numPr>
        <w:spacing w:line="279" w:lineRule="auto"/>
      </w:pPr>
      <w:r>
        <w:t xml:space="preserve">RSA just put out guidance that all Pre-Employment Transition Services should be personalized per student instead of generalized group/classroom lessons.  </w:t>
      </w:r>
    </w:p>
    <w:p w14:paraId="027D8770" w14:textId="77777777" w:rsidR="00FE4CDB" w:rsidRDefault="00FE4CDB" w:rsidP="00FE4CDB">
      <w:pPr>
        <w:pStyle w:val="ListParagraph"/>
        <w:numPr>
          <w:ilvl w:val="0"/>
          <w:numId w:val="6"/>
        </w:numPr>
        <w:spacing w:line="279" w:lineRule="auto"/>
      </w:pPr>
      <w:r>
        <w:t xml:space="preserve">Currently with our number of instructors our maximum number of students at an adult skills retreat is 12-16 depending on the students attending. </w:t>
      </w:r>
    </w:p>
    <w:p w14:paraId="24C18D29" w14:textId="77777777" w:rsidR="00FE4CDB" w:rsidRDefault="00FE4CDB" w:rsidP="00FE4CDB">
      <w:pPr>
        <w:pStyle w:val="ListParagraph"/>
        <w:numPr>
          <w:ilvl w:val="0"/>
          <w:numId w:val="6"/>
        </w:numPr>
        <w:spacing w:line="279" w:lineRule="auto"/>
      </w:pPr>
      <w:r>
        <w:t xml:space="preserve">With the weekend retreats, maintaining student ratios, the maximum number of students should be 5 as we require </w:t>
      </w:r>
      <w:proofErr w:type="gramStart"/>
      <w:r>
        <w:t>around the clock</w:t>
      </w:r>
      <w:proofErr w:type="gramEnd"/>
      <w:r>
        <w:t xml:space="preserve"> staffing for these events and staff </w:t>
      </w:r>
      <w:proofErr w:type="spellStart"/>
      <w:proofErr w:type="gramStart"/>
      <w:r>
        <w:t>can not</w:t>
      </w:r>
      <w:proofErr w:type="spellEnd"/>
      <w:proofErr w:type="gramEnd"/>
      <w:r>
        <w:t xml:space="preserve"> go over 80 hours per week unless we get temporary staff to assist with the weekend retreats/camps. </w:t>
      </w:r>
    </w:p>
    <w:p w14:paraId="30511D96" w14:textId="77777777" w:rsidR="00FE4CDB" w:rsidRDefault="00FE4CDB" w:rsidP="00FE4CDB">
      <w:r>
        <w:t>Narrative</w:t>
      </w:r>
    </w:p>
    <w:p w14:paraId="32E8DD1C" w14:textId="77777777" w:rsidR="00FE4CDB" w:rsidRDefault="00FE4CDB" w:rsidP="00FE4CDB">
      <w:r>
        <w:t xml:space="preserve">The Education and Training team would benefit from 2 additional instructors to allow for larger capacity to serve our youth and adults needing introductory skills. Currently our capacity is 12-16 for adult </w:t>
      </w:r>
      <w:proofErr w:type="gramStart"/>
      <w:r>
        <w:t>retreats</w:t>
      </w:r>
      <w:proofErr w:type="gramEnd"/>
      <w:r>
        <w:t xml:space="preserve"> and we could get up to 24 students. With the waiting list for the Center this would assist with getting those introductory skills to students until they are released from the waiting list. </w:t>
      </w:r>
    </w:p>
    <w:p w14:paraId="2A7737F1" w14:textId="77777777" w:rsidR="00FE4CDB" w:rsidRDefault="00FE4CDB" w:rsidP="00FE4CDB">
      <w:r>
        <w:lastRenderedPageBreak/>
        <w:t xml:space="preserve">During the youth services our staff could double capacity allowing 10 or more students for each weekend retreat/summer camp without the need for temporary staff.  We could potentially do </w:t>
      </w:r>
      <w:proofErr w:type="gramStart"/>
      <w:r>
        <w:t>additional</w:t>
      </w:r>
      <w:proofErr w:type="gramEnd"/>
      <w:r>
        <w:t xml:space="preserve"> students due to only needing one staff </w:t>
      </w:r>
      <w:proofErr w:type="gramStart"/>
      <w:r>
        <w:t>overnight</w:t>
      </w:r>
      <w:proofErr w:type="gramEnd"/>
      <w:r>
        <w:t xml:space="preserve"> which could result in up to 15 students per retreat. </w:t>
      </w:r>
    </w:p>
    <w:p w14:paraId="3AA9D7F1" w14:textId="77777777" w:rsidR="00FE4CDB" w:rsidRDefault="00FE4CDB" w:rsidP="00FE4CDB">
      <w:r>
        <w:t xml:space="preserve">With our regulations stating that we need to </w:t>
      </w:r>
      <w:proofErr w:type="gramStart"/>
      <w:r>
        <w:t>be spending</w:t>
      </w:r>
      <w:proofErr w:type="gramEnd"/>
      <w:r>
        <w:t xml:space="preserve"> 15% of our budget on Pre-Employment Transition Services these additional staff salaries would assist with reaching that goal. We also have several measured data points on </w:t>
      </w:r>
      <w:proofErr w:type="gramStart"/>
      <w:r>
        <w:t>Pre-ETS</w:t>
      </w:r>
      <w:proofErr w:type="gramEnd"/>
      <w:r>
        <w:t xml:space="preserve"> services for </w:t>
      </w:r>
      <w:proofErr w:type="gramStart"/>
      <w:r>
        <w:t>youth</w:t>
      </w:r>
      <w:proofErr w:type="gramEnd"/>
      <w:r>
        <w:t xml:space="preserve"> that would increase through additional staff.  </w:t>
      </w:r>
    </w:p>
    <w:p w14:paraId="20CE05A7" w14:textId="77777777" w:rsidR="00FE4CDB" w:rsidRDefault="00FE4CDB" w:rsidP="00FE4CDB">
      <w:r>
        <w:t xml:space="preserve">These retreats are an introduction for our students into IDB and for several students are life altering. We have heard students talk about their own growth through short retreats and how eye opening it is. The discussion about gaining independence from both adults and students is a game changer.  </w:t>
      </w:r>
    </w:p>
    <w:p w14:paraId="6D582F15" w14:textId="77777777" w:rsidR="00C95F48" w:rsidRDefault="00C95F48" w:rsidP="00FE4CDB"/>
    <w:p w14:paraId="32DE090E" w14:textId="5C7713BC" w:rsidR="00C95F48" w:rsidRDefault="00C95F48" w:rsidP="00FE4CDB">
      <w:pPr>
        <w:rPr>
          <w:b/>
          <w:bCs/>
          <w:u w:val="single"/>
        </w:rPr>
      </w:pPr>
      <w:r>
        <w:rPr>
          <w:b/>
          <w:bCs/>
          <w:u w:val="single"/>
        </w:rPr>
        <w:t>Orientation Center for the Blind</w:t>
      </w:r>
    </w:p>
    <w:p w14:paraId="19D1DDE4" w14:textId="77777777" w:rsidR="00BF2A18" w:rsidRDefault="00BF2A18" w:rsidP="00BF2A18">
      <w:r>
        <w:t>Statistics</w:t>
      </w:r>
    </w:p>
    <w:p w14:paraId="233A3338" w14:textId="77777777" w:rsidR="00BF2A18" w:rsidRDefault="00BF2A18" w:rsidP="00BF2A18">
      <w:r>
        <w:t>Total students in center: 14</w:t>
      </w:r>
    </w:p>
    <w:p w14:paraId="0ACBB873" w14:textId="77777777" w:rsidR="00BF2A18" w:rsidRDefault="00BF2A18" w:rsidP="00BF2A18">
      <w:r>
        <w:t>Number of staff operating as students: 4</w:t>
      </w:r>
    </w:p>
    <w:p w14:paraId="446FC3BB" w14:textId="77777777" w:rsidR="00BF2A18" w:rsidRDefault="00BF2A18" w:rsidP="00BF2A18">
      <w:r>
        <w:t>Number of students in each tech class currently with one instructor: 4 to 6</w:t>
      </w:r>
    </w:p>
    <w:p w14:paraId="0EB4C05E" w14:textId="77777777" w:rsidR="00BF2A18" w:rsidRDefault="00BF2A18" w:rsidP="00BF2A18">
      <w:r>
        <w:t>Number of students in each travel class with one instructor: 3 to 4</w:t>
      </w:r>
    </w:p>
    <w:p w14:paraId="47448B0C" w14:textId="77777777" w:rsidR="00BF2A18" w:rsidRDefault="00BF2A18" w:rsidP="00BF2A18">
      <w:r>
        <w:t>Number of skills track students: 5</w:t>
      </w:r>
    </w:p>
    <w:p w14:paraId="2B972E57" w14:textId="77777777" w:rsidR="00BF2A18" w:rsidRDefault="00BF2A18" w:rsidP="00BF2A18">
      <w:r>
        <w:t>Number of skills track students who have requested specifically to take travel, technology, or both: 5 (100 percent)</w:t>
      </w:r>
    </w:p>
    <w:p w14:paraId="61D9976B" w14:textId="77777777" w:rsidR="00BF2A18" w:rsidRDefault="00BF2A18" w:rsidP="00BF2A18">
      <w:r>
        <w:t>Number of students who have requested double or extra periods of tech or travel on their own initiative 7 (50 Percent)</w:t>
      </w:r>
    </w:p>
    <w:p w14:paraId="7392DF93" w14:textId="77777777" w:rsidR="00BF2A18" w:rsidRDefault="00BF2A18" w:rsidP="00BF2A18">
      <w:r>
        <w:t>Relative student capacity with an extra tech and travel instructor: likely 20 to 25 (43 to 79 percent more students served at once)</w:t>
      </w:r>
    </w:p>
    <w:p w14:paraId="64980655" w14:textId="77777777" w:rsidR="00BF2A18" w:rsidRDefault="00BF2A18" w:rsidP="00BF2A18">
      <w:r>
        <w:lastRenderedPageBreak/>
        <w:t>Number of students in class with 25 students and two additional instructors: 3 to 4</w:t>
      </w:r>
    </w:p>
    <w:p w14:paraId="3737D581" w14:textId="77777777" w:rsidR="00BF2A18" w:rsidRDefault="00BF2A18" w:rsidP="00BF2A18">
      <w:r>
        <w:t>Current waitlist numbers: about 10</w:t>
      </w:r>
    </w:p>
    <w:p w14:paraId="74067B8B" w14:textId="77777777" w:rsidR="00BF2A18" w:rsidRDefault="00BF2A18" w:rsidP="00BF2A18">
      <w:r>
        <w:t>Current number of students who have expressed interest but are not currently on the list: over 5</w:t>
      </w:r>
    </w:p>
    <w:p w14:paraId="37BE80DA" w14:textId="77777777" w:rsidR="00BF2A18" w:rsidRDefault="00BF2A18" w:rsidP="00BF2A18">
      <w:r>
        <w:t>Current average waiting Time: 4 to 8 months</w:t>
      </w:r>
    </w:p>
    <w:p w14:paraId="226200B1" w14:textId="77777777" w:rsidR="00BF2A18" w:rsidRDefault="00BF2A18" w:rsidP="00BF2A18"/>
    <w:p w14:paraId="24C14372" w14:textId="77777777" w:rsidR="00BF2A18" w:rsidRDefault="00BF2A18" w:rsidP="00BF2A18">
      <w:r>
        <w:t>Narrative</w:t>
      </w:r>
    </w:p>
    <w:p w14:paraId="25452849" w14:textId="77777777" w:rsidR="00BF2A18" w:rsidRDefault="00BF2A18" w:rsidP="00BF2A18">
      <w:r>
        <w:tab/>
        <w:t xml:space="preserve">The center currently has 14 students, four of which are agency staff completing their emersion training.  </w:t>
      </w:r>
      <w:r w:rsidRPr="00FC294E">
        <w:t>Current demand for center-based instruction exceeds available capacity, with approximately 10 individuals currently on the waitlist, more than five additional individuals who have expressed interest but are not currently on the waitlist, and a current typical wait time of approximately 4–8 months.</w:t>
      </w:r>
      <w:r>
        <w:t xml:space="preserve">  As training centers are likely to receive more scrutiny from RSA, and our waitlist is growing the need to create pathways to </w:t>
      </w:r>
      <w:proofErr w:type="gramStart"/>
      <w:r>
        <w:t>adding</w:t>
      </w:r>
      <w:proofErr w:type="gramEnd"/>
      <w:r>
        <w:t xml:space="preserve"> more students becomes </w:t>
      </w:r>
      <w:proofErr w:type="gramStart"/>
      <w:r>
        <w:t>more and more</w:t>
      </w:r>
      <w:proofErr w:type="gramEnd"/>
      <w:r>
        <w:t xml:space="preserve"> crucial.  The addition of the skills track has increased interest in attendance, but it has also increased our waitlist and wait time accordingly.  Adding extra instructors would help cut down on both aspects significantly.  </w:t>
      </w:r>
      <w:r w:rsidRPr="002A65A2">
        <w:rPr>
          <w:b/>
          <w:bCs/>
        </w:rPr>
        <w:t>All five current skills-track students have specifically requested technology, travel, or both, and seven of the center's 14 students (50%) have requested additional or double periods in technology or travel</w:t>
      </w:r>
      <w:r>
        <w:rPr>
          <w:b/>
          <w:bCs/>
        </w:rPr>
        <w:t xml:space="preserve"> on their own initiative</w:t>
      </w:r>
      <w:r w:rsidRPr="002A65A2">
        <w:rPr>
          <w:b/>
          <w:bCs/>
        </w:rPr>
        <w:t>.</w:t>
      </w:r>
      <w:r>
        <w:rPr>
          <w:b/>
          <w:bCs/>
        </w:rPr>
        <w:t xml:space="preserve">  </w:t>
      </w:r>
      <w:r w:rsidRPr="009A4721">
        <w:rPr>
          <w:b/>
          <w:bCs/>
        </w:rPr>
        <w:t xml:space="preserve">Based on current class sizes, instructional schedules, and available classroom/off-site training capacity, </w:t>
      </w:r>
      <w:r>
        <w:rPr>
          <w:b/>
          <w:bCs/>
        </w:rPr>
        <w:t xml:space="preserve">it can be estimated that </w:t>
      </w:r>
      <w:r w:rsidRPr="009A4721">
        <w:rPr>
          <w:b/>
          <w:bCs/>
        </w:rPr>
        <w:t>adding one technology instructor and one travel instructor would increase sustainable center capacity from approximately 14 students to approximately 20–25 students.</w:t>
      </w:r>
    </w:p>
    <w:p w14:paraId="69273103" w14:textId="77777777" w:rsidR="00BF2A18" w:rsidRDefault="00BF2A18" w:rsidP="00BF2A18">
      <w:r>
        <w:tab/>
        <w:t xml:space="preserve">Under our current method of operations, when a student requests a double period, or emphasis in an individual travel or tech focus, with one instructor in each of these classes we cannot always grant these requests. Particularly in travel where there are safety aspects to keep in mind, and students are often off site it is crucial to have a low student to instructor ratio.  Based on the current skills track students all requesting tech, travel, or both, there is an extremely high likelihood these classes will continue to have a disproportionate level of interest to other classes in future. </w:t>
      </w:r>
    </w:p>
    <w:p w14:paraId="1F903EA5" w14:textId="77777777" w:rsidR="00BF2A18" w:rsidRDefault="00BF2A18" w:rsidP="00BF2A18">
      <w:pPr>
        <w:ind w:firstLine="720"/>
      </w:pPr>
      <w:r>
        <w:lastRenderedPageBreak/>
        <w:t xml:space="preserve">With our current instructors, if one has an unexpected absence or needs to take leave, we often cannot offer a comparable class at that time.  For example, if our travel instructor took leave for several months, and there is only one person who can teach travel under the current model, then we are faced with a gap in service that it is challenging if not impossible to compensate for.  Technology can be a challenge to find subs for, as there are only a few RTS in the agency who already have very full caseloads.  However, travel is in an even more precarious situation.  Only having one person certified with an NOMC in the center environment creates a huge gap if there are absences and leave, creating a gap for new students and existing students alike.  Often students enter the training center environment with little to no cane experience, </w:t>
      </w:r>
      <w:proofErr w:type="gramStart"/>
      <w:r>
        <w:t>but yet</w:t>
      </w:r>
      <w:proofErr w:type="gramEnd"/>
      <w:r>
        <w:t xml:space="preserve"> they very quickly need to navigate the Des Moines area independently for appointments, groceries, the bank, and more.  If there is only one instructor on staff who can provide this training, and they are absent, it can provide a huge delay in center training, and decreased confidence and comfortability for a student overall.</w:t>
      </w:r>
    </w:p>
    <w:p w14:paraId="7BC011C3" w14:textId="77777777" w:rsidR="00BF2A18" w:rsidRDefault="00BF2A18" w:rsidP="00BF2A18">
      <w:pPr>
        <w:ind w:left="720" w:firstLine="720"/>
      </w:pPr>
      <w:r>
        <w:t>Having an extra instructor in each area would allow us to offer more training in specific areas of interest, cut down on our waiting list, shorten waiting times for center attendance, maintain appropriate teacher-to-student Ent ratios, and provide more individualized attention to help meet client needs.  Since the introduction of the skills track has allowed students with more diverse needs and multiple disabilities to more frequently be able to attend classes, the ability to provide more individualized instruction is vital.  Additionally, the ability to serve more students at once, and by extension more students each year, increasing our numbers from about 14 at once to about 20 to 25 will lead to increased graduation numbers long-term.  Particularly with the addition of Progressive Employment to the center, allowing students to have informational interviews, job shadows, job tours, and work experiences, it is highly likely that increasing instructors, will lead to increased rates of student completion, which will in turn provide higher successful employment outcomes for the agency as a whole.</w:t>
      </w:r>
    </w:p>
    <w:p w14:paraId="12764D2B" w14:textId="77777777" w:rsidR="00BF2A18" w:rsidRDefault="00BF2A18" w:rsidP="00BF2A18">
      <w:pPr>
        <w:ind w:left="720" w:firstLine="720"/>
      </w:pPr>
    </w:p>
    <w:p w14:paraId="5F7B30AD" w14:textId="5144FE3F" w:rsidR="00BF2A18" w:rsidRDefault="008C2C44" w:rsidP="00B80F13">
      <w:pPr>
        <w:pStyle w:val="Heading2"/>
      </w:pPr>
      <w:bookmarkStart w:id="1" w:name="_Toc239957330"/>
      <w:r>
        <w:t>Salary/Benefit Increases for Existing FTEs</w:t>
      </w:r>
      <w:bookmarkEnd w:id="1"/>
    </w:p>
    <w:p w14:paraId="420E4A9B" w14:textId="28643A67" w:rsidR="00C95F48" w:rsidRDefault="004B160A" w:rsidP="00FE4CDB">
      <w:r>
        <w:t>This item would allow our agency to continue operating with the same number of staff</w:t>
      </w:r>
      <w:r w:rsidR="00201FD1">
        <w:t xml:space="preserve"> as we do today.</w:t>
      </w:r>
    </w:p>
    <w:p w14:paraId="215A58E8" w14:textId="77777777" w:rsidR="000D5FEC" w:rsidRDefault="000D5FEC" w:rsidP="00FE4CDB"/>
    <w:p w14:paraId="177FB6F9" w14:textId="27004320" w:rsidR="00FE4CDB" w:rsidRDefault="00201FD1" w:rsidP="00201FD1">
      <w:pPr>
        <w:pStyle w:val="Heading2"/>
      </w:pPr>
      <w:bookmarkStart w:id="2" w:name="_Toc239957331"/>
      <w:r>
        <w:lastRenderedPageBreak/>
        <w:t>New Deputy Director Positio</w:t>
      </w:r>
      <w:r w:rsidR="00787F1A">
        <w:t>n</w:t>
      </w:r>
      <w:bookmarkEnd w:id="2"/>
    </w:p>
    <w:p w14:paraId="107991E9" w14:textId="77777777" w:rsidR="00316784" w:rsidRPr="00316784" w:rsidRDefault="00316784" w:rsidP="00316784">
      <w:r w:rsidRPr="00316784">
        <w:t xml:space="preserve">The Iowa Department for the Blind currently has a part-time Deputy Director. The position is filled by the Director of the Iowa Library for the Blind and Print Disabled, who simultaneously serves as the </w:t>
      </w:r>
      <w:proofErr w:type="gramStart"/>
      <w:r w:rsidRPr="00316784">
        <w:t>Library's</w:t>
      </w:r>
      <w:proofErr w:type="gramEnd"/>
      <w:r w:rsidRPr="00316784">
        <w:t xml:space="preserve"> full-time director and IDB's part-time Deputy Director.</w:t>
      </w:r>
    </w:p>
    <w:p w14:paraId="22DF5AC8" w14:textId="77777777" w:rsidR="00316784" w:rsidRPr="00316784" w:rsidRDefault="00316784" w:rsidP="00316784">
      <w:r w:rsidRPr="00316784">
        <w:t>This structure does not provide the Department with the level of executive administrative capacity appropriate for a statewide agency with multiple divisions, a substantial workforce, significant federal responsibilities, and a broad range of operational functions.</w:t>
      </w:r>
    </w:p>
    <w:p w14:paraId="6DAA7AE7" w14:textId="77777777" w:rsidR="00316784" w:rsidRPr="00316784" w:rsidRDefault="00316784" w:rsidP="00316784">
      <w:r w:rsidRPr="00316784">
        <w:t>At the same time, assigning the Deputy Director responsibilities to the Library Director necessarily divides her attention between two substantial leadership roles. The Iowa Library for the Blind and Print Disabled is itself a large, complex statewide program whose director is expected to provide full-time leadership of the NLS library program. The Library Director should not have to divide that responsibility with a significant agency-wide administrative portfolio.</w:t>
      </w:r>
    </w:p>
    <w:p w14:paraId="4039DE5D" w14:textId="6159F396" w:rsidR="00316784" w:rsidRPr="00316784" w:rsidRDefault="00316784" w:rsidP="00316784">
      <w:r w:rsidRPr="00316784">
        <w:t xml:space="preserve">Establishing a full-time IDB Deputy Director would address both issues. It would provide IDB with </w:t>
      </w:r>
      <w:r w:rsidR="0000020D">
        <w:t xml:space="preserve">additional </w:t>
      </w:r>
      <w:r w:rsidRPr="00316784">
        <w:t xml:space="preserve">dedicated agency-wide administrative leadership while allowing the Library Director to devote her full working time to leading the </w:t>
      </w:r>
      <w:proofErr w:type="gramStart"/>
      <w:r w:rsidRPr="00316784">
        <w:t>Library</w:t>
      </w:r>
      <w:proofErr w:type="gramEnd"/>
      <w:r w:rsidRPr="00316784">
        <w:t>.</w:t>
      </w:r>
    </w:p>
    <w:p w14:paraId="071465BD" w14:textId="77777777" w:rsidR="00316784" w:rsidRPr="00316784" w:rsidRDefault="00316784" w:rsidP="00316784">
      <w:pPr>
        <w:rPr>
          <w:b/>
          <w:bCs/>
        </w:rPr>
      </w:pPr>
      <w:r w:rsidRPr="00316784">
        <w:rPr>
          <w:b/>
          <w:bCs/>
        </w:rPr>
        <w:t>Role of the Deputy Director</w:t>
      </w:r>
    </w:p>
    <w:p w14:paraId="348FAFDE" w14:textId="77777777" w:rsidR="00316784" w:rsidRPr="00316784" w:rsidRDefault="00316784" w:rsidP="00316784">
      <w:r w:rsidRPr="00316784">
        <w:t>The Deputy Director would serve as the agency's senior administrative and operational leader under the Director. The position would provide capacity for the Director to delegate appropriate agency-wide management responsibilities and would improve coordination across IDB's divisions.</w:t>
      </w:r>
    </w:p>
    <w:p w14:paraId="075AB7EF" w14:textId="77777777" w:rsidR="00316784" w:rsidRPr="00316784" w:rsidRDefault="00316784" w:rsidP="00316784">
      <w:r w:rsidRPr="00316784">
        <w:t>Responsibilities could include:</w:t>
      </w:r>
    </w:p>
    <w:p w14:paraId="79FDC39D" w14:textId="77777777" w:rsidR="00316784" w:rsidRPr="00316784" w:rsidRDefault="00316784" w:rsidP="00316784">
      <w:pPr>
        <w:numPr>
          <w:ilvl w:val="0"/>
          <w:numId w:val="9"/>
        </w:numPr>
      </w:pPr>
      <w:r w:rsidRPr="00316784">
        <w:rPr>
          <w:b/>
          <w:bCs/>
        </w:rPr>
        <w:t>Budget and fiscal coordination</w:t>
      </w:r>
      <w:r w:rsidRPr="00316784">
        <w:t>, including monitoring agency expenditures, budget implementation, financial processes, and coordination with the agency's fiscal staff.</w:t>
      </w:r>
    </w:p>
    <w:p w14:paraId="17464C7B" w14:textId="77777777" w:rsidR="00316784" w:rsidRPr="00316784" w:rsidRDefault="00316784" w:rsidP="00316784">
      <w:pPr>
        <w:numPr>
          <w:ilvl w:val="0"/>
          <w:numId w:val="9"/>
        </w:numPr>
      </w:pPr>
      <w:r w:rsidRPr="00316784">
        <w:rPr>
          <w:b/>
          <w:bCs/>
        </w:rPr>
        <w:t>Information technology coordination</w:t>
      </w:r>
      <w:r w:rsidRPr="00316784">
        <w:t>, including agency technology needs, accessibility of technology, systems issues, equipment, software, cybersecurity coordination, and relationships with state IT resources.</w:t>
      </w:r>
    </w:p>
    <w:p w14:paraId="7EF0DAA1" w14:textId="3208D439" w:rsidR="00316784" w:rsidRPr="00316784" w:rsidRDefault="00316784" w:rsidP="00316784">
      <w:pPr>
        <w:numPr>
          <w:ilvl w:val="0"/>
          <w:numId w:val="9"/>
        </w:numPr>
      </w:pPr>
      <w:r w:rsidRPr="00316784">
        <w:rPr>
          <w:b/>
          <w:bCs/>
        </w:rPr>
        <w:lastRenderedPageBreak/>
        <w:t>Facilities management</w:t>
      </w:r>
      <w:r w:rsidRPr="00316784">
        <w:t>, including building operations, maintenance, repairs, security, space planning, equipment, and coordination of facility-related projects.</w:t>
      </w:r>
    </w:p>
    <w:p w14:paraId="79004B6B" w14:textId="77777777" w:rsidR="00316784" w:rsidRPr="00316784" w:rsidRDefault="00316784" w:rsidP="00316784">
      <w:pPr>
        <w:numPr>
          <w:ilvl w:val="0"/>
          <w:numId w:val="9"/>
        </w:numPr>
      </w:pPr>
      <w:r w:rsidRPr="00316784">
        <w:rPr>
          <w:b/>
          <w:bCs/>
        </w:rPr>
        <w:t>Procurement and contracting</w:t>
      </w:r>
      <w:r w:rsidRPr="00316784">
        <w:t>, including coordination of purchasing, contracts, equipment, supplies, and other administrative transactions.</w:t>
      </w:r>
    </w:p>
    <w:p w14:paraId="1B5A4EAB" w14:textId="77777777" w:rsidR="00316784" w:rsidRPr="00316784" w:rsidRDefault="00316784" w:rsidP="00316784">
      <w:pPr>
        <w:numPr>
          <w:ilvl w:val="0"/>
          <w:numId w:val="9"/>
        </w:numPr>
      </w:pPr>
      <w:r w:rsidRPr="00316784">
        <w:rPr>
          <w:b/>
          <w:bCs/>
        </w:rPr>
        <w:t>Human resources coordination</w:t>
      </w:r>
      <w:r w:rsidRPr="00316784">
        <w:t>, including recruitment, onboarding, position management, employee development, personnel processes, and coordination with central human resources functions.</w:t>
      </w:r>
    </w:p>
    <w:p w14:paraId="7288C744" w14:textId="77777777" w:rsidR="00316784" w:rsidRPr="00316784" w:rsidRDefault="00316784" w:rsidP="00316784">
      <w:pPr>
        <w:numPr>
          <w:ilvl w:val="0"/>
          <w:numId w:val="9"/>
        </w:numPr>
      </w:pPr>
      <w:r w:rsidRPr="00316784">
        <w:rPr>
          <w:b/>
          <w:bCs/>
        </w:rPr>
        <w:t>Staff development and training</w:t>
      </w:r>
      <w:r w:rsidRPr="00316784">
        <w:t>, including identifying agency-wide training needs, coordinating training opportunities, and supporting consistent supervisory and management practices.</w:t>
      </w:r>
    </w:p>
    <w:p w14:paraId="75AC8F9E" w14:textId="726897F5" w:rsidR="00316784" w:rsidRPr="00316784" w:rsidRDefault="00316784" w:rsidP="009844CB">
      <w:pPr>
        <w:numPr>
          <w:ilvl w:val="0"/>
          <w:numId w:val="9"/>
        </w:numPr>
      </w:pPr>
      <w:r w:rsidRPr="00316784">
        <w:rPr>
          <w:b/>
          <w:bCs/>
        </w:rPr>
        <w:t>Project management</w:t>
      </w:r>
      <w:r w:rsidRPr="00316784">
        <w:t>, particularly for agency-wide initiatives that require coordination among multiple divisions or with other state agencies.</w:t>
      </w:r>
    </w:p>
    <w:p w14:paraId="780E840D" w14:textId="77777777" w:rsidR="00316784" w:rsidRPr="00316784" w:rsidRDefault="00316784" w:rsidP="00316784">
      <w:pPr>
        <w:rPr>
          <w:b/>
          <w:bCs/>
        </w:rPr>
      </w:pPr>
      <w:r w:rsidRPr="00316784">
        <w:rPr>
          <w:b/>
          <w:bCs/>
        </w:rPr>
        <w:t>Maintaining Appropriate Separation of Responsibilities</w:t>
      </w:r>
    </w:p>
    <w:p w14:paraId="5FECD70A" w14:textId="77777777" w:rsidR="00316784" w:rsidRPr="00316784" w:rsidRDefault="00316784" w:rsidP="00316784">
      <w:r w:rsidRPr="00316784">
        <w:t>The Deputy Director would not replace or assume responsibilities that are assigned by federal law, regulation, or RSA policy specifically to the agency director or that otherwise cannot be delegated.</w:t>
      </w:r>
    </w:p>
    <w:p w14:paraId="1C027F44" w14:textId="27729E31" w:rsidR="00316784" w:rsidRPr="00316784" w:rsidRDefault="00316784" w:rsidP="00316784">
      <w:r w:rsidRPr="00316784">
        <w:t xml:space="preserve">In particular, the position would not be designed to transfer the non-delegable responsibilities of the VR agency </w:t>
      </w:r>
      <w:r w:rsidR="00732BF8">
        <w:t>director as outlined by federal law and regulations</w:t>
      </w:r>
      <w:r w:rsidRPr="00316784">
        <w:t>. Rather, the Deputy Director would provide executive-level capacity for the many administrative, operational, and organizational functions that can appropriately be delegated.</w:t>
      </w:r>
    </w:p>
    <w:p w14:paraId="6EA1E521" w14:textId="77777777" w:rsidR="00316784" w:rsidRPr="00316784" w:rsidRDefault="00316784" w:rsidP="00316784">
      <w:pPr>
        <w:rPr>
          <w:b/>
          <w:bCs/>
        </w:rPr>
      </w:pPr>
      <w:r w:rsidRPr="00316784">
        <w:rPr>
          <w:b/>
          <w:bCs/>
        </w:rPr>
        <w:t>Benefit to the Library</w:t>
      </w:r>
    </w:p>
    <w:p w14:paraId="53E02729" w14:textId="77777777" w:rsidR="00316784" w:rsidRPr="00316784" w:rsidRDefault="00316784" w:rsidP="00316784">
      <w:r w:rsidRPr="00316784">
        <w:t>The current organizational structure requires the Library Director to divide her time between two major responsibilities: directing the Iowa Library for the Blind and Print Disabled and serving as IDB's part-time Deputy Director.</w:t>
      </w:r>
    </w:p>
    <w:p w14:paraId="594B399E" w14:textId="77777777" w:rsidR="00316784" w:rsidRPr="00316784" w:rsidRDefault="00316784" w:rsidP="00316784">
      <w:r w:rsidRPr="00316784">
        <w:t xml:space="preserve">The </w:t>
      </w:r>
      <w:proofErr w:type="gramStart"/>
      <w:r w:rsidRPr="00316784">
        <w:t>Library</w:t>
      </w:r>
      <w:proofErr w:type="gramEnd"/>
      <w:r w:rsidRPr="00316784">
        <w:t xml:space="preserve"> is a statewide program with substantial operational, personnel, patron-service, technology, facilities, and NLS responsibilities. Its director needs sufficient time to provide programmatic leadership, oversee library services, develop staff, address NLS requirements, plan for future service needs, and represent the </w:t>
      </w:r>
      <w:proofErr w:type="gramStart"/>
      <w:r w:rsidRPr="00316784">
        <w:t>Library</w:t>
      </w:r>
      <w:proofErr w:type="gramEnd"/>
      <w:r w:rsidRPr="00316784">
        <w:t xml:space="preserve"> with stakeholders and partners.</w:t>
      </w:r>
    </w:p>
    <w:p w14:paraId="35EE478D" w14:textId="77777777" w:rsidR="00316784" w:rsidRPr="00316784" w:rsidRDefault="00316784" w:rsidP="00316784">
      <w:r w:rsidRPr="00316784">
        <w:lastRenderedPageBreak/>
        <w:t xml:space="preserve">A full-time IDB Deputy Director would allow the Library Director to return to a single, clearly defined responsibility: leading the </w:t>
      </w:r>
      <w:proofErr w:type="gramStart"/>
      <w:r w:rsidRPr="00316784">
        <w:t>Library</w:t>
      </w:r>
      <w:proofErr w:type="gramEnd"/>
      <w:r w:rsidRPr="00316784">
        <w:t>.</w:t>
      </w:r>
    </w:p>
    <w:p w14:paraId="3E665742" w14:textId="77777777" w:rsidR="00316784" w:rsidRPr="00316784" w:rsidRDefault="00316784" w:rsidP="00316784">
      <w:pPr>
        <w:rPr>
          <w:b/>
          <w:bCs/>
        </w:rPr>
      </w:pPr>
      <w:r w:rsidRPr="00316784">
        <w:rPr>
          <w:b/>
          <w:bCs/>
        </w:rPr>
        <w:t>Benefit to IDB</w:t>
      </w:r>
    </w:p>
    <w:p w14:paraId="772E5F68" w14:textId="401DEDEE" w:rsidR="00316784" w:rsidRDefault="00316784" w:rsidP="00316784">
      <w:r w:rsidRPr="00316784">
        <w:t xml:space="preserve">A statewide agency with multiple divisions should have sufficient executive management capacity to ensure that its </w:t>
      </w:r>
      <w:proofErr w:type="gramStart"/>
      <w:r w:rsidRPr="00316784">
        <w:t>Director</w:t>
      </w:r>
      <w:proofErr w:type="gramEnd"/>
      <w:r w:rsidRPr="00316784">
        <w:t xml:space="preserve"> </w:t>
      </w:r>
      <w:proofErr w:type="gramStart"/>
      <w:r w:rsidRPr="00316784">
        <w:t>is able to</w:t>
      </w:r>
      <w:proofErr w:type="gramEnd"/>
      <w:r w:rsidRPr="00316784">
        <w:t xml:space="preserve"> focus on the agency's highest-level responsibilities rather than serving as the de facto manager </w:t>
      </w:r>
      <w:r w:rsidR="007C5BD6">
        <w:t>of every high-level operational need.</w:t>
      </w:r>
    </w:p>
    <w:p w14:paraId="073FC63D" w14:textId="77777777" w:rsidR="000D5FEC" w:rsidRPr="00316784" w:rsidRDefault="000D5FEC" w:rsidP="00316784"/>
    <w:p w14:paraId="59447A58" w14:textId="7DFC3C27" w:rsidR="00787F1A" w:rsidRDefault="003D7619" w:rsidP="003D7619">
      <w:pPr>
        <w:pStyle w:val="Heading2"/>
      </w:pPr>
      <w:bookmarkStart w:id="3" w:name="_Toc239957332"/>
      <w:r>
        <w:t>Transportation Benefits: Parking and Bus Passes</w:t>
      </w:r>
      <w:bookmarkEnd w:id="3"/>
    </w:p>
    <w:p w14:paraId="1320A034" w14:textId="1B4BD713" w:rsidR="003D7619" w:rsidRDefault="005C0AFA" w:rsidP="003D7619">
      <w:r>
        <w:t xml:space="preserve">IDB is currently the only state agency that we are aware of </w:t>
      </w:r>
      <w:r w:rsidR="00B33B2F">
        <w:t>which</w:t>
      </w:r>
      <w:r>
        <w:t xml:space="preserve"> does not pay for its employees parking at its headquarters. We would like to </w:t>
      </w:r>
      <w:r w:rsidR="0038241F">
        <w:t xml:space="preserve">remedy that by paying for parking for IDB staff at our Des Moines headquarters. </w:t>
      </w:r>
      <w:proofErr w:type="gramStart"/>
      <w:r w:rsidR="0038241F">
        <w:t>Due to the fact that</w:t>
      </w:r>
      <w:proofErr w:type="gramEnd"/>
      <w:r w:rsidR="0038241F">
        <w:t xml:space="preserve"> IDB employes a significant number of blind</w:t>
      </w:r>
      <w:r w:rsidR="00386C9E">
        <w:t xml:space="preserve"> and low vision employees, we want to offer an equitable benefit to staff who do not drive. We </w:t>
      </w:r>
      <w:r w:rsidR="00564783">
        <w:t>would like to offer bus passes to staff who cannot (or otherwise do not wish to) dri</w:t>
      </w:r>
      <w:r w:rsidR="00A62BFA">
        <w:t>ve and utilize our parking benefit.</w:t>
      </w:r>
    </w:p>
    <w:p w14:paraId="11F65748" w14:textId="77777777" w:rsidR="000D5FEC" w:rsidRDefault="000D5FEC" w:rsidP="003D7619"/>
    <w:p w14:paraId="6550AA5D" w14:textId="6A29888C" w:rsidR="00EB1AA6" w:rsidRDefault="00EB1AA6" w:rsidP="00EB1AA6">
      <w:pPr>
        <w:pStyle w:val="Heading2"/>
      </w:pPr>
      <w:bookmarkStart w:id="4" w:name="_Toc239957333"/>
      <w:r>
        <w:t>Field Operations Intern</w:t>
      </w:r>
      <w:bookmarkEnd w:id="4"/>
    </w:p>
    <w:p w14:paraId="071BCCEF" w14:textId="77777777" w:rsidR="00473E6B" w:rsidRPr="00473E6B" w:rsidRDefault="00473E6B" w:rsidP="00473E6B">
      <w:r w:rsidRPr="00473E6B">
        <w:t xml:space="preserve">We are requesting $10,000 in the FY 2028 budget to fund a paid VR Counseling Intern position. This internship was included in our workforce development </w:t>
      </w:r>
      <w:proofErr w:type="gramStart"/>
      <w:r w:rsidRPr="00473E6B">
        <w:t>planning</w:t>
      </w:r>
      <w:proofErr w:type="gramEnd"/>
      <w:r w:rsidRPr="00473E6B">
        <w:t xml:space="preserve"> in FY 2026, and we would like to add funding for it again in FY 2028 to support ongoing priorities aligned with our WIOA State Plan.</w:t>
      </w:r>
    </w:p>
    <w:p w14:paraId="5091A3D2" w14:textId="77777777" w:rsidR="00473E6B" w:rsidRPr="00473E6B" w:rsidRDefault="00473E6B" w:rsidP="00473E6B">
      <w:r w:rsidRPr="00473E6B">
        <w:t xml:space="preserve">As a vocational rehabilitation agency, building a strong pipeline </w:t>
      </w:r>
      <w:proofErr w:type="gramStart"/>
      <w:r w:rsidRPr="00473E6B">
        <w:t>of</w:t>
      </w:r>
      <w:proofErr w:type="gramEnd"/>
      <w:r w:rsidRPr="00473E6B">
        <w:t xml:space="preserve"> future VR professionals is essential. A paid intern supports our grow</w:t>
      </w:r>
      <w:r w:rsidRPr="00473E6B">
        <w:noBreakHyphen/>
        <w:t>your</w:t>
      </w:r>
      <w:r w:rsidRPr="00473E6B">
        <w:noBreakHyphen/>
        <w:t>own strategy and helps to strengthen our relationships with Rehabilitation Counseling programs. In addition, a VR Counseling intern position provides students with meaningful, hands</w:t>
      </w:r>
      <w:r w:rsidRPr="00473E6B">
        <w:noBreakHyphen/>
        <w:t>on experience in blindness and low vision services. Many VR counseling students go on to work in community rehabilitation programs or independent living centers, so offering this internship helps build capacity not just for our agency but for the broader statewide VR system.</w:t>
      </w:r>
    </w:p>
    <w:p w14:paraId="7E469590" w14:textId="77777777" w:rsidR="00473E6B" w:rsidRPr="00473E6B" w:rsidRDefault="00473E6B" w:rsidP="00473E6B">
      <w:r w:rsidRPr="00473E6B">
        <w:lastRenderedPageBreak/>
        <w:t>If dedicated funding is not approved, we will still offer this internship as an unpaid opportunity. Depending on the broader budget picture, we may also explore whether internal reallocations like routine adjustments to planned expenditures could support this position without impacting staffing or service delivery. That flexibility is not guaranteed, though, which is why a specific budget request is being requested.</w:t>
      </w:r>
    </w:p>
    <w:p w14:paraId="7A65478E" w14:textId="312E73AE" w:rsidR="00A9628E" w:rsidRDefault="00473E6B" w:rsidP="00091EFF">
      <w:r w:rsidRPr="00473E6B">
        <w:t>Providing compensation removes financial barriers for students and strengthens our long</w:t>
      </w:r>
      <w:r w:rsidRPr="00473E6B">
        <w:noBreakHyphen/>
        <w:t>term goals around talent development and building agency capacity.  For these reasons, we are requesting $10,000 to support a paid VR Counseling Intern for FY 2028.</w:t>
      </w:r>
    </w:p>
    <w:p w14:paraId="70705A0E" w14:textId="77777777" w:rsidR="000D5FEC" w:rsidRDefault="000D5FEC" w:rsidP="00091EFF"/>
    <w:p w14:paraId="4B743DDE" w14:textId="6C9BEC04" w:rsidR="006143D2" w:rsidRDefault="00514257" w:rsidP="00F10AFC">
      <w:pPr>
        <w:pStyle w:val="Heading2"/>
      </w:pPr>
      <w:bookmarkStart w:id="5" w:name="_Toc239957334"/>
      <w:r>
        <w:t>Travel Funding for A</w:t>
      </w:r>
      <w:r w:rsidR="00121A9D">
        <w:t>dditional Staff to Attend CSAVR and NCSAB</w:t>
      </w:r>
      <w:bookmarkEnd w:id="5"/>
    </w:p>
    <w:p w14:paraId="4AB728E9" w14:textId="77777777" w:rsidR="00121A9D" w:rsidRPr="00121A9D" w:rsidRDefault="00121A9D" w:rsidP="00121A9D">
      <w:pPr>
        <w:rPr>
          <w:b/>
          <w:bCs/>
        </w:rPr>
      </w:pPr>
      <w:r w:rsidRPr="00121A9D">
        <w:rPr>
          <w:b/>
          <w:bCs/>
        </w:rPr>
        <w:t>Additional Staff Participation in CSAVR and NCSAB</w:t>
      </w:r>
    </w:p>
    <w:p w14:paraId="6FA941FE" w14:textId="65747D5C" w:rsidR="00121A9D" w:rsidRPr="00121A9D" w:rsidRDefault="00121A9D" w:rsidP="00121A9D">
      <w:r w:rsidRPr="00121A9D">
        <w:t>IDB should increase its budget to allow additional members of the agency's</w:t>
      </w:r>
      <w:r w:rsidR="00DE0001">
        <w:t xml:space="preserve"> Leadership Team</w:t>
      </w:r>
      <w:r w:rsidRPr="00121A9D">
        <w:t xml:space="preserve"> to attend the Council of State Administrators of Vocational Rehabilitation (CSAVR) and National Council of State Agencies for the Blind (NCSAB) conferences with the Director.</w:t>
      </w:r>
      <w:r w:rsidR="00B54C42">
        <w:t xml:space="preserve"> Thes</w:t>
      </w:r>
      <w:r w:rsidR="003A0CE4">
        <w:t xml:space="preserve">e are the preeminent conferences in </w:t>
      </w:r>
      <w:r w:rsidR="000A3063">
        <w:t>the vocational rehabilitation field</w:t>
      </w:r>
      <w:r w:rsidR="003A0CE4">
        <w:t>.</w:t>
      </w:r>
      <w:r w:rsidR="000A3063" w:rsidRPr="000A3063">
        <w:t xml:space="preserve"> Attendance at these conferences is an expected part of leadership for state VR and blindness agencies, and other states routinely send </w:t>
      </w:r>
      <w:r w:rsidR="00A019E0">
        <w:t>many</w:t>
      </w:r>
      <w:r w:rsidR="000A3063" w:rsidRPr="000A3063">
        <w:t xml:space="preserve"> members </w:t>
      </w:r>
      <w:r w:rsidR="00A019E0">
        <w:t xml:space="preserve">(if not all members) </w:t>
      </w:r>
      <w:r w:rsidR="000A3063" w:rsidRPr="000A3063">
        <w:t>of their leadership teams.</w:t>
      </w:r>
    </w:p>
    <w:p w14:paraId="3299616A" w14:textId="77777777" w:rsidR="00602BBB" w:rsidRPr="00602BBB" w:rsidRDefault="00602BBB" w:rsidP="00602BBB">
      <w:r w:rsidRPr="00602BBB">
        <w:t xml:space="preserve">It is particularly common for state blindness agencies to send their adjustment-to-blindness center administrators, Pre-Employment Transition Services administrators, BEP administrators, Older Individuals who are Blind/independent living administrators, and VR program administrators. Sending these professionals to these conferences builds knowledge across the Leadership Team, rather than </w:t>
      </w:r>
      <w:proofErr w:type="gramStart"/>
      <w:r w:rsidRPr="00602BBB">
        <w:t>concentrating</w:t>
      </w:r>
      <w:proofErr w:type="gramEnd"/>
      <w:r w:rsidRPr="00602BBB">
        <w:t xml:space="preserve"> expertise and institutional knowledge in a single individual. It also provides broader exposure to emerging issues and best practices, strengthens succession planning, and ensures that multiple members of the team have the training and professional relationships needed to lead their programs effectively.</w:t>
      </w:r>
    </w:p>
    <w:p w14:paraId="2D3B3DB1" w14:textId="12127C7C" w:rsidR="00121A9D" w:rsidRPr="00121A9D" w:rsidRDefault="00181861" w:rsidP="00121A9D">
      <w:r>
        <w:t>Typically, we have only been able to send one staff member to each</w:t>
      </w:r>
      <w:r w:rsidR="006907A0">
        <w:t xml:space="preserve"> conference</w:t>
      </w:r>
      <w:r>
        <w:t xml:space="preserve">; in the past, it has primarily been our VR Program Administrator. </w:t>
      </w:r>
      <w:r w:rsidR="00CA406D">
        <w:t xml:space="preserve">In the fall of 2025, both the IDB Director and VR Program Administrator were able to attend. We would </w:t>
      </w:r>
      <w:r w:rsidR="00CA406D">
        <w:lastRenderedPageBreak/>
        <w:t xml:space="preserve">like to build on this and ensure that our orientation center administrator, </w:t>
      </w:r>
      <w:proofErr w:type="gramStart"/>
      <w:r w:rsidR="00CA406D">
        <w:t>Pre-ETS</w:t>
      </w:r>
      <w:proofErr w:type="gramEnd"/>
      <w:r w:rsidR="00CA406D">
        <w:t xml:space="preserve"> administrator, and </w:t>
      </w:r>
      <w:r w:rsidR="00C067B3">
        <w:t>Older Individuals who are Blind Administrator also attend.</w:t>
      </w:r>
    </w:p>
    <w:p w14:paraId="6869E2C0" w14:textId="59050319" w:rsidR="00121A9D" w:rsidRDefault="000D1882" w:rsidP="00121A9D">
      <w:r>
        <w:t>These conferences provide significant training and technical assistance from</w:t>
      </w:r>
      <w:r w:rsidR="00A2234A">
        <w:t xml:space="preserve"> RSA and VRTAC</w:t>
      </w:r>
      <w:r w:rsidR="00990086">
        <w:t xml:space="preserve"> that ensure that we are operating in accordance with federal laws, regulations, and best practices.  They also provide </w:t>
      </w:r>
      <w:proofErr w:type="gramStart"/>
      <w:r w:rsidR="00990086">
        <w:t>staff</w:t>
      </w:r>
      <w:proofErr w:type="gramEnd"/>
      <w:r w:rsidR="00990086">
        <w:t xml:space="preserve"> the opportunity to learn about the latest technology, </w:t>
      </w:r>
      <w:r w:rsidR="00155589">
        <w:t>program vendors</w:t>
      </w:r>
      <w:r w:rsidR="0070090E">
        <w:t xml:space="preserve"> (such as Sky’s The Limit and Independence Science), and training methodologies.</w:t>
      </w:r>
    </w:p>
    <w:p w14:paraId="02A9B2F0" w14:textId="5428458C" w:rsidR="0070090E" w:rsidRDefault="0070090E" w:rsidP="00121A9D">
      <w:r>
        <w:t>At last year’s conferenc</w:t>
      </w:r>
      <w:r w:rsidR="00660412">
        <w:t xml:space="preserve">e alone, we </w:t>
      </w:r>
      <w:r w:rsidR="004F6B0F">
        <w:t xml:space="preserve">learned about Independence Science (which coordinated with IDB on </w:t>
      </w:r>
      <w:r w:rsidR="00D43619">
        <w:t>the two-week science block of our summer LEAP program)</w:t>
      </w:r>
      <w:r w:rsidR="00C610E8">
        <w:t xml:space="preserve"> and</w:t>
      </w:r>
      <w:r w:rsidR="00D43619">
        <w:t xml:space="preserve"> Tactile Images (which coordinated with our </w:t>
      </w:r>
      <w:r w:rsidR="002863B0">
        <w:t>Library for our Experience the Cosmos exhibit)</w:t>
      </w:r>
      <w:r w:rsidR="00642359">
        <w:t>.</w:t>
      </w:r>
      <w:r w:rsidR="00C610E8">
        <w:t xml:space="preserve"> </w:t>
      </w:r>
    </w:p>
    <w:p w14:paraId="09919A12" w14:textId="77777777" w:rsidR="000D5FEC" w:rsidRDefault="000D5FEC" w:rsidP="00121A9D"/>
    <w:p w14:paraId="28D33452" w14:textId="5E35B8F8" w:rsidR="001A26C0" w:rsidRDefault="00C90CA2" w:rsidP="00C90CA2">
      <w:pPr>
        <w:pStyle w:val="Heading2"/>
      </w:pPr>
      <w:bookmarkStart w:id="6" w:name="_Toc239957335"/>
      <w:r>
        <w:t>Inflationary Increases to Operational Costs</w:t>
      </w:r>
      <w:bookmarkEnd w:id="6"/>
    </w:p>
    <w:p w14:paraId="6A0728D8" w14:textId="034BAD18" w:rsidR="002B3DD4" w:rsidRDefault="0069422C" w:rsidP="002B3DD4">
      <w:r>
        <w:t>C</w:t>
      </w:r>
      <w:r w:rsidR="002B3DD4" w:rsidRPr="002B3DD4">
        <w:t xml:space="preserve">osts for supplies, equipment, </w:t>
      </w:r>
      <w:r w:rsidR="00DF2EC8">
        <w:t xml:space="preserve">office </w:t>
      </w:r>
      <w:r w:rsidR="002B3DD4" w:rsidRPr="002B3DD4">
        <w:t xml:space="preserve">technology, software, telecommunications, utilities, maintenance, and other routine operating expenses </w:t>
      </w:r>
      <w:r>
        <w:t>increase each year</w:t>
      </w:r>
      <w:r w:rsidR="002B3DD4" w:rsidRPr="002B3DD4">
        <w:t xml:space="preserve">. </w:t>
      </w:r>
    </w:p>
    <w:p w14:paraId="66F75366" w14:textId="77777777" w:rsidR="000D5FEC" w:rsidRDefault="000D5FEC" w:rsidP="002B3DD4"/>
    <w:p w14:paraId="3EF4E490" w14:textId="0EAB7C96" w:rsidR="00DD2C0D" w:rsidRDefault="00B52756" w:rsidP="00B52756">
      <w:pPr>
        <w:pStyle w:val="Heading2"/>
      </w:pPr>
      <w:bookmarkStart w:id="7" w:name="_Toc239957336"/>
      <w:r>
        <w:t>A</w:t>
      </w:r>
      <w:r w:rsidR="00B45D43">
        <w:t>ira</w:t>
      </w:r>
      <w:r>
        <w:t xml:space="preserve"> for IDB Staff</w:t>
      </w:r>
      <w:bookmarkEnd w:id="7"/>
    </w:p>
    <w:p w14:paraId="5DDFFA25" w14:textId="699E4CD4" w:rsidR="00B52756" w:rsidRDefault="00B52756" w:rsidP="00B52756">
      <w:r>
        <w:t>IDB has recently beg</w:t>
      </w:r>
      <w:r w:rsidR="00473E6B">
        <w:t>u</w:t>
      </w:r>
      <w:r>
        <w:t xml:space="preserve">n offering AIRA as </w:t>
      </w:r>
      <w:proofErr w:type="gramStart"/>
      <w:r>
        <w:t>an accommodation</w:t>
      </w:r>
      <w:proofErr w:type="gramEnd"/>
      <w:r>
        <w:t xml:space="preserve"> for IDB staff. </w:t>
      </w:r>
      <w:r w:rsidR="005B5944">
        <w:t xml:space="preserve">It is currently being utilized by </w:t>
      </w:r>
      <w:r w:rsidR="00FD6555">
        <w:t xml:space="preserve">20 blind and low vision rehabilitation counselors, rehabilitation instructors, and </w:t>
      </w:r>
      <w:r w:rsidR="001E23A8">
        <w:t xml:space="preserve">retreat instructors for reviewing client documentation, data entry, </w:t>
      </w:r>
      <w:r w:rsidR="0055280F">
        <w:t xml:space="preserve">navigating inaccessible websites, and other work-related tasks. This is a cost-effective alternative to </w:t>
      </w:r>
      <w:r w:rsidR="009E09FF">
        <w:t>hiring additional administrative staff to perform these tasks.</w:t>
      </w:r>
      <w:r w:rsidR="00BF003C">
        <w:t xml:space="preserve"> </w:t>
      </w:r>
      <w:r w:rsidR="00EE3704">
        <w:t xml:space="preserve">We were able to “make room” for Aira funding this year by re-directing unused funds from </w:t>
      </w:r>
      <w:r w:rsidR="00FB3D68">
        <w:t>other items; however, we can’t guarantee that we will be able to do this in future years. Therefore, additional funding for this valued staff accommodation is requested.</w:t>
      </w:r>
    </w:p>
    <w:p w14:paraId="311166AE" w14:textId="77777777" w:rsidR="0064434D" w:rsidRDefault="0064434D" w:rsidP="00B52756"/>
    <w:p w14:paraId="3CD3293F" w14:textId="79139B7F" w:rsidR="006332FA" w:rsidRDefault="006332FA" w:rsidP="006332FA">
      <w:pPr>
        <w:pStyle w:val="Heading2"/>
      </w:pPr>
      <w:bookmarkStart w:id="8" w:name="_Toc239957337"/>
      <w:r>
        <w:lastRenderedPageBreak/>
        <w:t>Driver Mileage Reimersement Increase</w:t>
      </w:r>
      <w:bookmarkEnd w:id="8"/>
    </w:p>
    <w:p w14:paraId="770D66F1" w14:textId="7E611250" w:rsidR="00143755" w:rsidRDefault="00523798" w:rsidP="00BA2A6D">
      <w:r>
        <w:t xml:space="preserve">Due to increased difficulty hiring and retaining drivers to transport </w:t>
      </w:r>
      <w:r w:rsidR="00895422">
        <w:t xml:space="preserve">IDB staff and clients, we increased our driver pay rate from $14 to </w:t>
      </w:r>
      <w:r w:rsidR="003445D5">
        <w:t xml:space="preserve">$19 an hour. This has assisted us in retaining drivers to transport our blind rehabilitation instructors to in-home visits and our </w:t>
      </w:r>
      <w:proofErr w:type="gramStart"/>
      <w:r w:rsidR="003445D5">
        <w:t>Pre-ETS</w:t>
      </w:r>
      <w:proofErr w:type="gramEnd"/>
      <w:r w:rsidR="003445D5">
        <w:t xml:space="preserve"> students and retreat clients to our </w:t>
      </w:r>
      <w:r w:rsidR="00143755">
        <w:t>programs.</w:t>
      </w:r>
      <w:r w:rsidR="000F657B">
        <w:t xml:space="preserve"> </w:t>
      </w:r>
      <w:proofErr w:type="gramStart"/>
      <w:r w:rsidR="00C870EC">
        <w:t>In order to</w:t>
      </w:r>
      <w:proofErr w:type="gramEnd"/>
      <w:r w:rsidR="00C870EC">
        <w:t xml:space="preserve"> continue retaining drivers, </w:t>
      </w:r>
      <w:r w:rsidR="002B2C2D">
        <w:t>we expect to need to raise our rate to $20 an hour to keep up with the cost of inflation</w:t>
      </w:r>
      <w:r w:rsidR="007B249A">
        <w:t xml:space="preserve">. </w:t>
      </w:r>
    </w:p>
    <w:p w14:paraId="6E4BA9A7" w14:textId="77777777" w:rsidR="0064434D" w:rsidRDefault="0064434D" w:rsidP="00BA2A6D"/>
    <w:p w14:paraId="3F6CEE10" w14:textId="77B50462" w:rsidR="00143755" w:rsidRDefault="00143755" w:rsidP="005575FE">
      <w:pPr>
        <w:pStyle w:val="Heading2"/>
      </w:pPr>
      <w:bookmarkStart w:id="9" w:name="_Toc239957338"/>
      <w:r>
        <w:t>Replacement Cycle of Fire Extinguishers</w:t>
      </w:r>
      <w:bookmarkEnd w:id="9"/>
    </w:p>
    <w:p w14:paraId="6684025B" w14:textId="0CBBD79B" w:rsidR="00781F04" w:rsidRDefault="00781F04" w:rsidP="00781F04">
      <w:pPr>
        <w:pStyle w:val="Heading2"/>
        <w:rPr>
          <w:sz w:val="28"/>
          <w:szCs w:val="28"/>
        </w:rPr>
      </w:pPr>
      <w:bookmarkStart w:id="10" w:name="_Toc239957339"/>
      <w:r w:rsidRPr="00D96E42">
        <w:rPr>
          <w:sz w:val="28"/>
          <w:szCs w:val="28"/>
        </w:rPr>
        <w:t xml:space="preserve">Funding is requested to replace fire extinguishers that have reached the end of their service life. Regular replacement is required to maintain compliance and ensure reliability.  For previous cycles, these replacements were included in the standard maintenance budget. </w:t>
      </w:r>
      <w:r w:rsidR="00772634">
        <w:rPr>
          <w:sz w:val="28"/>
          <w:szCs w:val="28"/>
        </w:rPr>
        <w:t>This was not included in last year’s budget,</w:t>
      </w:r>
      <w:r w:rsidR="00B707DA">
        <w:rPr>
          <w:sz w:val="28"/>
          <w:szCs w:val="28"/>
        </w:rPr>
        <w:t xml:space="preserve"> </w:t>
      </w:r>
      <w:r w:rsidR="0063541B">
        <w:rPr>
          <w:sz w:val="28"/>
          <w:szCs w:val="28"/>
        </w:rPr>
        <w:t xml:space="preserve">but the cycle requires it for FY </w:t>
      </w:r>
      <w:r w:rsidR="00F40DAF">
        <w:rPr>
          <w:sz w:val="28"/>
          <w:szCs w:val="28"/>
        </w:rPr>
        <w:t>20</w:t>
      </w:r>
      <w:r w:rsidR="0063541B">
        <w:rPr>
          <w:sz w:val="28"/>
          <w:szCs w:val="28"/>
        </w:rPr>
        <w:t xml:space="preserve">28. </w:t>
      </w:r>
      <w:r w:rsidRPr="00D96E42">
        <w:rPr>
          <w:sz w:val="28"/>
          <w:szCs w:val="28"/>
        </w:rPr>
        <w:t xml:space="preserve">This </w:t>
      </w:r>
      <w:r w:rsidR="00825E55">
        <w:rPr>
          <w:sz w:val="28"/>
          <w:szCs w:val="28"/>
        </w:rPr>
        <w:t>increase</w:t>
      </w:r>
      <w:r w:rsidRPr="00D96E42">
        <w:rPr>
          <w:sz w:val="28"/>
          <w:szCs w:val="28"/>
        </w:rPr>
        <w:t xml:space="preserve"> continues that established practice to keep equipment current and compliant. Approval will allow us to complete the scheduled maintenance cycle and maintain fully operational fire</w:t>
      </w:r>
      <w:r w:rsidRPr="00D96E42">
        <w:rPr>
          <w:sz w:val="28"/>
          <w:szCs w:val="28"/>
        </w:rPr>
        <w:noBreakHyphen/>
        <w:t>safety equipment.</w:t>
      </w:r>
    </w:p>
    <w:p w14:paraId="241792B8" w14:textId="77777777" w:rsidR="0064434D" w:rsidRPr="0064434D" w:rsidRDefault="0064434D" w:rsidP="0064434D"/>
    <w:p w14:paraId="7A7752AB" w14:textId="01763D44" w:rsidR="005575FE" w:rsidRDefault="005575FE" w:rsidP="005575FE">
      <w:pPr>
        <w:pStyle w:val="Heading2"/>
      </w:pPr>
      <w:r>
        <w:t>Travel Funding for Library</w:t>
      </w:r>
      <w:bookmarkEnd w:id="10"/>
    </w:p>
    <w:p w14:paraId="5BDCB2D6" w14:textId="4C565707" w:rsidR="00AC74FE" w:rsidRPr="00AC74FE" w:rsidRDefault="007C77BC" w:rsidP="00AC74FE">
      <w:r w:rsidRPr="007C77BC">
        <w:t xml:space="preserve">For the last 12 years, funding within the budget has allowed the library to send three to four staff members to the Iowa Library Association’s annual conference each October. This participation enables staff to manage an </w:t>
      </w:r>
      <w:proofErr w:type="gramStart"/>
      <w:r w:rsidRPr="007C77BC">
        <w:t>informational</w:t>
      </w:r>
      <w:proofErr w:type="gramEnd"/>
      <w:r w:rsidRPr="007C77BC">
        <w:t xml:space="preserve"> booth, present sessions on key initiatives, and engage in continuing education essential to maintaining high-quality service. This conference reaches more than 300 librarians from public, school, and academic libraries across Iowa, strengthening statewide awareness of our services and supporting a reliable referral network to our library and the Department. </w:t>
      </w:r>
      <w:r w:rsidR="006C6F76">
        <w:t>However, this item was not in our General Fund budget last year</w:t>
      </w:r>
      <w:r w:rsidR="008468DD">
        <w:t xml:space="preserve"> and IDB used Gifts and Bequests</w:t>
      </w:r>
      <w:r w:rsidR="006C6F76">
        <w:t xml:space="preserve">. </w:t>
      </w:r>
      <w:r w:rsidR="008468DD">
        <w:t>Restoring</w:t>
      </w:r>
      <w:r w:rsidRPr="007C77BC">
        <w:t xml:space="preserve"> funding ensures we maintain these valuable partnerships that directly benefit Iowans.</w:t>
      </w:r>
      <w:r w:rsidR="00CD5EDB">
        <w:t xml:space="preserve"> </w:t>
      </w:r>
    </w:p>
    <w:sectPr w:rsidR="00AC74FE" w:rsidRPr="00AC74FE" w:rsidSect="009652A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8F9"/>
    <w:multiLevelType w:val="multilevel"/>
    <w:tmpl w:val="7B9CA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777F48"/>
    <w:multiLevelType w:val="multilevel"/>
    <w:tmpl w:val="76E842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A5B2941"/>
    <w:multiLevelType w:val="multilevel"/>
    <w:tmpl w:val="97EA605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3B3949A0"/>
    <w:multiLevelType w:val="multilevel"/>
    <w:tmpl w:val="8214CE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21441A4"/>
    <w:multiLevelType w:val="multilevel"/>
    <w:tmpl w:val="DBF036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73EC05F2"/>
    <w:multiLevelType w:val="hybridMultilevel"/>
    <w:tmpl w:val="E02A2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DBB7A1"/>
    <w:multiLevelType w:val="hybridMultilevel"/>
    <w:tmpl w:val="616E385A"/>
    <w:lvl w:ilvl="0" w:tplc="5CC0CE0C">
      <w:start w:val="1"/>
      <w:numFmt w:val="bullet"/>
      <w:lvlText w:val=""/>
      <w:lvlJc w:val="left"/>
      <w:pPr>
        <w:ind w:left="720" w:hanging="360"/>
      </w:pPr>
      <w:rPr>
        <w:rFonts w:ascii="Symbol" w:hAnsi="Symbol" w:hint="default"/>
      </w:rPr>
    </w:lvl>
    <w:lvl w:ilvl="1" w:tplc="1B70DFEC">
      <w:start w:val="1"/>
      <w:numFmt w:val="bullet"/>
      <w:lvlText w:val="o"/>
      <w:lvlJc w:val="left"/>
      <w:pPr>
        <w:ind w:left="1440" w:hanging="360"/>
      </w:pPr>
      <w:rPr>
        <w:rFonts w:ascii="Courier New" w:hAnsi="Courier New" w:hint="default"/>
      </w:rPr>
    </w:lvl>
    <w:lvl w:ilvl="2" w:tplc="F6801334">
      <w:start w:val="1"/>
      <w:numFmt w:val="bullet"/>
      <w:lvlText w:val=""/>
      <w:lvlJc w:val="left"/>
      <w:pPr>
        <w:ind w:left="2160" w:hanging="360"/>
      </w:pPr>
      <w:rPr>
        <w:rFonts w:ascii="Wingdings" w:hAnsi="Wingdings" w:hint="default"/>
      </w:rPr>
    </w:lvl>
    <w:lvl w:ilvl="3" w:tplc="208E43D2">
      <w:start w:val="1"/>
      <w:numFmt w:val="bullet"/>
      <w:lvlText w:val=""/>
      <w:lvlJc w:val="left"/>
      <w:pPr>
        <w:ind w:left="2880" w:hanging="360"/>
      </w:pPr>
      <w:rPr>
        <w:rFonts w:ascii="Symbol" w:hAnsi="Symbol" w:hint="default"/>
      </w:rPr>
    </w:lvl>
    <w:lvl w:ilvl="4" w:tplc="1C52F012">
      <w:start w:val="1"/>
      <w:numFmt w:val="bullet"/>
      <w:lvlText w:val="o"/>
      <w:lvlJc w:val="left"/>
      <w:pPr>
        <w:ind w:left="3600" w:hanging="360"/>
      </w:pPr>
      <w:rPr>
        <w:rFonts w:ascii="Courier New" w:hAnsi="Courier New" w:hint="default"/>
      </w:rPr>
    </w:lvl>
    <w:lvl w:ilvl="5" w:tplc="A1688DEE">
      <w:start w:val="1"/>
      <w:numFmt w:val="bullet"/>
      <w:lvlText w:val=""/>
      <w:lvlJc w:val="left"/>
      <w:pPr>
        <w:ind w:left="4320" w:hanging="360"/>
      </w:pPr>
      <w:rPr>
        <w:rFonts w:ascii="Wingdings" w:hAnsi="Wingdings" w:hint="default"/>
      </w:rPr>
    </w:lvl>
    <w:lvl w:ilvl="6" w:tplc="69069F8A">
      <w:start w:val="1"/>
      <w:numFmt w:val="bullet"/>
      <w:lvlText w:val=""/>
      <w:lvlJc w:val="left"/>
      <w:pPr>
        <w:ind w:left="5040" w:hanging="360"/>
      </w:pPr>
      <w:rPr>
        <w:rFonts w:ascii="Symbol" w:hAnsi="Symbol" w:hint="default"/>
      </w:rPr>
    </w:lvl>
    <w:lvl w:ilvl="7" w:tplc="E23A7FEC">
      <w:start w:val="1"/>
      <w:numFmt w:val="bullet"/>
      <w:lvlText w:val="o"/>
      <w:lvlJc w:val="left"/>
      <w:pPr>
        <w:ind w:left="5760" w:hanging="360"/>
      </w:pPr>
      <w:rPr>
        <w:rFonts w:ascii="Courier New" w:hAnsi="Courier New" w:hint="default"/>
      </w:rPr>
    </w:lvl>
    <w:lvl w:ilvl="8" w:tplc="FB8E346A">
      <w:start w:val="1"/>
      <w:numFmt w:val="bullet"/>
      <w:lvlText w:val=""/>
      <w:lvlJc w:val="left"/>
      <w:pPr>
        <w:ind w:left="6480" w:hanging="360"/>
      </w:pPr>
      <w:rPr>
        <w:rFonts w:ascii="Wingdings" w:hAnsi="Wingdings" w:hint="default"/>
      </w:rPr>
    </w:lvl>
  </w:abstractNum>
  <w:abstractNum w:abstractNumId="7" w15:restartNumberingAfterBreak="0">
    <w:nsid w:val="7E59015F"/>
    <w:multiLevelType w:val="multilevel"/>
    <w:tmpl w:val="8680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DF7898"/>
    <w:multiLevelType w:val="multilevel"/>
    <w:tmpl w:val="6FDC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12288F"/>
    <w:multiLevelType w:val="multilevel"/>
    <w:tmpl w:val="6996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513643">
    <w:abstractNumId w:val="3"/>
  </w:num>
  <w:num w:numId="2" w16cid:durableId="1514765841">
    <w:abstractNumId w:val="1"/>
  </w:num>
  <w:num w:numId="3" w16cid:durableId="988708309">
    <w:abstractNumId w:val="4"/>
  </w:num>
  <w:num w:numId="4" w16cid:durableId="54354013">
    <w:abstractNumId w:val="2"/>
  </w:num>
  <w:num w:numId="5" w16cid:durableId="464467346">
    <w:abstractNumId w:val="5"/>
  </w:num>
  <w:num w:numId="6" w16cid:durableId="817527497">
    <w:abstractNumId w:val="6"/>
  </w:num>
  <w:num w:numId="7" w16cid:durableId="2087215914">
    <w:abstractNumId w:val="7"/>
  </w:num>
  <w:num w:numId="8" w16cid:durableId="2073037349">
    <w:abstractNumId w:val="8"/>
  </w:num>
  <w:num w:numId="9" w16cid:durableId="1551112209">
    <w:abstractNumId w:val="9"/>
  </w:num>
  <w:num w:numId="10" w16cid:durableId="1879007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24"/>
    <w:rsid w:val="0000020D"/>
    <w:rsid w:val="00030D6F"/>
    <w:rsid w:val="000562A9"/>
    <w:rsid w:val="00091EFF"/>
    <w:rsid w:val="000A3063"/>
    <w:rsid w:val="000D1882"/>
    <w:rsid w:val="000D5FEC"/>
    <w:rsid w:val="000E4096"/>
    <w:rsid w:val="000F657B"/>
    <w:rsid w:val="00121A9D"/>
    <w:rsid w:val="00143755"/>
    <w:rsid w:val="0015482E"/>
    <w:rsid w:val="00155589"/>
    <w:rsid w:val="00162360"/>
    <w:rsid w:val="00165780"/>
    <w:rsid w:val="00181861"/>
    <w:rsid w:val="001A26C0"/>
    <w:rsid w:val="001D1B11"/>
    <w:rsid w:val="001E23A8"/>
    <w:rsid w:val="00201FD1"/>
    <w:rsid w:val="00214D8F"/>
    <w:rsid w:val="00245EE0"/>
    <w:rsid w:val="00284BAE"/>
    <w:rsid w:val="002863B0"/>
    <w:rsid w:val="00286A14"/>
    <w:rsid w:val="002B2C2D"/>
    <w:rsid w:val="002B3DD4"/>
    <w:rsid w:val="00316784"/>
    <w:rsid w:val="0032666D"/>
    <w:rsid w:val="00343B65"/>
    <w:rsid w:val="003445D5"/>
    <w:rsid w:val="003642CA"/>
    <w:rsid w:val="0038241F"/>
    <w:rsid w:val="00386C9E"/>
    <w:rsid w:val="00396521"/>
    <w:rsid w:val="003A0CE4"/>
    <w:rsid w:val="003D7619"/>
    <w:rsid w:val="00446CD2"/>
    <w:rsid w:val="00447BE2"/>
    <w:rsid w:val="00473E6B"/>
    <w:rsid w:val="004A0CDA"/>
    <w:rsid w:val="004B160A"/>
    <w:rsid w:val="004F49C9"/>
    <w:rsid w:val="004F6B0F"/>
    <w:rsid w:val="00514257"/>
    <w:rsid w:val="00523798"/>
    <w:rsid w:val="005330DF"/>
    <w:rsid w:val="00545924"/>
    <w:rsid w:val="0055280F"/>
    <w:rsid w:val="005575FE"/>
    <w:rsid w:val="00564783"/>
    <w:rsid w:val="00575CA7"/>
    <w:rsid w:val="0057603C"/>
    <w:rsid w:val="005B5944"/>
    <w:rsid w:val="005C0AFA"/>
    <w:rsid w:val="006011B8"/>
    <w:rsid w:val="00602BBB"/>
    <w:rsid w:val="00603C5E"/>
    <w:rsid w:val="006143D2"/>
    <w:rsid w:val="006306DB"/>
    <w:rsid w:val="006332FA"/>
    <w:rsid w:val="0063541B"/>
    <w:rsid w:val="00642359"/>
    <w:rsid w:val="0064434D"/>
    <w:rsid w:val="0064768A"/>
    <w:rsid w:val="00660412"/>
    <w:rsid w:val="00680DB1"/>
    <w:rsid w:val="006907A0"/>
    <w:rsid w:val="0069422C"/>
    <w:rsid w:val="006A37F1"/>
    <w:rsid w:val="006A50CD"/>
    <w:rsid w:val="006C6F76"/>
    <w:rsid w:val="006F66FF"/>
    <w:rsid w:val="0070090E"/>
    <w:rsid w:val="00732BF8"/>
    <w:rsid w:val="00754516"/>
    <w:rsid w:val="00761CAB"/>
    <w:rsid w:val="00767011"/>
    <w:rsid w:val="00772634"/>
    <w:rsid w:val="00781F04"/>
    <w:rsid w:val="00787F1A"/>
    <w:rsid w:val="00793EE7"/>
    <w:rsid w:val="007A0A98"/>
    <w:rsid w:val="007A2D15"/>
    <w:rsid w:val="007B249A"/>
    <w:rsid w:val="007C5BD6"/>
    <w:rsid w:val="007C77BC"/>
    <w:rsid w:val="007C794E"/>
    <w:rsid w:val="007D23C0"/>
    <w:rsid w:val="00825E55"/>
    <w:rsid w:val="008468DD"/>
    <w:rsid w:val="0087203A"/>
    <w:rsid w:val="008809FE"/>
    <w:rsid w:val="00895422"/>
    <w:rsid w:val="008A28B2"/>
    <w:rsid w:val="008C2C44"/>
    <w:rsid w:val="008D6FA0"/>
    <w:rsid w:val="008F3112"/>
    <w:rsid w:val="009652AC"/>
    <w:rsid w:val="009844CB"/>
    <w:rsid w:val="00990086"/>
    <w:rsid w:val="009A6B61"/>
    <w:rsid w:val="009D711A"/>
    <w:rsid w:val="009E09FF"/>
    <w:rsid w:val="009E1A1B"/>
    <w:rsid w:val="00A019E0"/>
    <w:rsid w:val="00A2234A"/>
    <w:rsid w:val="00A559BC"/>
    <w:rsid w:val="00A62BFA"/>
    <w:rsid w:val="00A96104"/>
    <w:rsid w:val="00A9628E"/>
    <w:rsid w:val="00AC74FE"/>
    <w:rsid w:val="00AF3CA5"/>
    <w:rsid w:val="00B33B2F"/>
    <w:rsid w:val="00B45D43"/>
    <w:rsid w:val="00B52756"/>
    <w:rsid w:val="00B54C42"/>
    <w:rsid w:val="00B707DA"/>
    <w:rsid w:val="00B80F13"/>
    <w:rsid w:val="00B94ACA"/>
    <w:rsid w:val="00BA2A6D"/>
    <w:rsid w:val="00BC7683"/>
    <w:rsid w:val="00BF003C"/>
    <w:rsid w:val="00BF2A18"/>
    <w:rsid w:val="00C067B3"/>
    <w:rsid w:val="00C610E8"/>
    <w:rsid w:val="00C75B71"/>
    <w:rsid w:val="00C870EC"/>
    <w:rsid w:val="00C90CA2"/>
    <w:rsid w:val="00C95F48"/>
    <w:rsid w:val="00CA406D"/>
    <w:rsid w:val="00CC1564"/>
    <w:rsid w:val="00CD5EDB"/>
    <w:rsid w:val="00D43619"/>
    <w:rsid w:val="00D504DB"/>
    <w:rsid w:val="00D96E42"/>
    <w:rsid w:val="00DA2AB8"/>
    <w:rsid w:val="00DD2C0D"/>
    <w:rsid w:val="00DE0001"/>
    <w:rsid w:val="00DE5669"/>
    <w:rsid w:val="00DF2EC8"/>
    <w:rsid w:val="00E44A9B"/>
    <w:rsid w:val="00EB1AA6"/>
    <w:rsid w:val="00EE3704"/>
    <w:rsid w:val="00F10406"/>
    <w:rsid w:val="00F10AFC"/>
    <w:rsid w:val="00F342EC"/>
    <w:rsid w:val="00F34D57"/>
    <w:rsid w:val="00F3559F"/>
    <w:rsid w:val="00F40DAF"/>
    <w:rsid w:val="00F559F2"/>
    <w:rsid w:val="00FB3D68"/>
    <w:rsid w:val="00FC16A0"/>
    <w:rsid w:val="00FD6555"/>
    <w:rsid w:val="00FE4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4A52"/>
  <w15:chartTrackingRefBased/>
  <w15:docId w15:val="{D16BF3BA-2F87-4A82-B391-DEB9CFC2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5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9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9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9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9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9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9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9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9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59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924"/>
    <w:rPr>
      <w:rFonts w:eastAsiaTheme="majorEastAsia" w:cstheme="majorBidi"/>
      <w:color w:val="272727" w:themeColor="text1" w:themeTint="D8"/>
    </w:rPr>
  </w:style>
  <w:style w:type="paragraph" w:styleId="Title">
    <w:name w:val="Title"/>
    <w:basedOn w:val="Normal"/>
    <w:next w:val="Normal"/>
    <w:link w:val="TitleChar"/>
    <w:uiPriority w:val="10"/>
    <w:qFormat/>
    <w:rsid w:val="00545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9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9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924"/>
    <w:pPr>
      <w:spacing w:before="160"/>
      <w:jc w:val="center"/>
    </w:pPr>
    <w:rPr>
      <w:i/>
      <w:iCs/>
      <w:color w:val="404040" w:themeColor="text1" w:themeTint="BF"/>
    </w:rPr>
  </w:style>
  <w:style w:type="character" w:customStyle="1" w:styleId="QuoteChar">
    <w:name w:val="Quote Char"/>
    <w:basedOn w:val="DefaultParagraphFont"/>
    <w:link w:val="Quote"/>
    <w:uiPriority w:val="29"/>
    <w:rsid w:val="00545924"/>
    <w:rPr>
      <w:i/>
      <w:iCs/>
      <w:color w:val="404040" w:themeColor="text1" w:themeTint="BF"/>
    </w:rPr>
  </w:style>
  <w:style w:type="paragraph" w:styleId="ListParagraph">
    <w:name w:val="List Paragraph"/>
    <w:basedOn w:val="Normal"/>
    <w:uiPriority w:val="34"/>
    <w:qFormat/>
    <w:rsid w:val="00545924"/>
    <w:pPr>
      <w:ind w:left="720"/>
      <w:contextualSpacing/>
    </w:pPr>
  </w:style>
  <w:style w:type="character" w:styleId="IntenseEmphasis">
    <w:name w:val="Intense Emphasis"/>
    <w:basedOn w:val="DefaultParagraphFont"/>
    <w:uiPriority w:val="21"/>
    <w:qFormat/>
    <w:rsid w:val="00545924"/>
    <w:rPr>
      <w:i/>
      <w:iCs/>
      <w:color w:val="0F4761" w:themeColor="accent1" w:themeShade="BF"/>
    </w:rPr>
  </w:style>
  <w:style w:type="paragraph" w:styleId="IntenseQuote">
    <w:name w:val="Intense Quote"/>
    <w:basedOn w:val="Normal"/>
    <w:next w:val="Normal"/>
    <w:link w:val="IntenseQuoteChar"/>
    <w:uiPriority w:val="30"/>
    <w:qFormat/>
    <w:rsid w:val="00545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924"/>
    <w:rPr>
      <w:i/>
      <w:iCs/>
      <w:color w:val="0F4761" w:themeColor="accent1" w:themeShade="BF"/>
    </w:rPr>
  </w:style>
  <w:style w:type="character" w:styleId="IntenseReference">
    <w:name w:val="Intense Reference"/>
    <w:basedOn w:val="DefaultParagraphFont"/>
    <w:uiPriority w:val="32"/>
    <w:qFormat/>
    <w:rsid w:val="00545924"/>
    <w:rPr>
      <w:b/>
      <w:bCs/>
      <w:smallCaps/>
      <w:color w:val="0F4761" w:themeColor="accent1" w:themeShade="BF"/>
      <w:spacing w:val="5"/>
    </w:rPr>
  </w:style>
  <w:style w:type="character" w:styleId="Hyperlink">
    <w:name w:val="Hyperlink"/>
    <w:basedOn w:val="DefaultParagraphFont"/>
    <w:uiPriority w:val="99"/>
    <w:unhideWhenUsed/>
    <w:rsid w:val="00396521"/>
    <w:rPr>
      <w:color w:val="467886" w:themeColor="hyperlink"/>
      <w:u w:val="single"/>
    </w:rPr>
  </w:style>
  <w:style w:type="character" w:styleId="UnresolvedMention">
    <w:name w:val="Unresolved Mention"/>
    <w:basedOn w:val="DefaultParagraphFont"/>
    <w:uiPriority w:val="99"/>
    <w:semiHidden/>
    <w:unhideWhenUsed/>
    <w:rsid w:val="00396521"/>
    <w:rPr>
      <w:color w:val="605E5C"/>
      <w:shd w:val="clear" w:color="auto" w:fill="E1DFDD"/>
    </w:rPr>
  </w:style>
  <w:style w:type="paragraph" w:styleId="NoSpacing">
    <w:name w:val="No Spacing"/>
    <w:uiPriority w:val="1"/>
    <w:qFormat/>
    <w:rsid w:val="0087203A"/>
    <w:pPr>
      <w:spacing w:after="0" w:line="240" w:lineRule="auto"/>
    </w:pPr>
  </w:style>
  <w:style w:type="paragraph" w:styleId="TOCHeading">
    <w:name w:val="TOC Heading"/>
    <w:basedOn w:val="Heading1"/>
    <w:next w:val="Normal"/>
    <w:uiPriority w:val="39"/>
    <w:unhideWhenUsed/>
    <w:qFormat/>
    <w:rsid w:val="00245EE0"/>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245EE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81B14-34AC-44FD-94DA-2765EA2EF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4800</Words>
  <Characters>27360</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Cervenka</dc:creator>
  <cp:keywords/>
  <dc:description/>
  <cp:lastModifiedBy>Janice Eggers</cp:lastModifiedBy>
  <cp:revision>2</cp:revision>
  <dcterms:created xsi:type="dcterms:W3CDTF">2026-09-11T18:08:00Z</dcterms:created>
  <dcterms:modified xsi:type="dcterms:W3CDTF">2026-09-11T18:08:00Z</dcterms:modified>
</cp:coreProperties>
</file>